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F69C2" w:rsidRPr="003A3684" w:rsidTr="008132C7">
        <w:trPr>
          <w:cantSplit/>
        </w:trPr>
        <w:tc>
          <w:tcPr>
            <w:tcW w:w="9576" w:type="dxa"/>
            <w:shd w:val="clear" w:color="auto" w:fill="D9D9D9" w:themeFill="background1" w:themeFillShade="D9"/>
          </w:tcPr>
          <w:p w:rsidR="002F69C2" w:rsidRPr="003A3684" w:rsidRDefault="002F69C2" w:rsidP="008132C7">
            <w:pPr>
              <w:spacing w:before="120" w:after="0"/>
              <w:jc w:val="center"/>
              <w:rPr>
                <w:rFonts w:ascii="Palatino Linotype" w:hAnsi="Palatino Linotype" w:cs="Arial"/>
                <w:b/>
              </w:rPr>
            </w:pPr>
            <w:r w:rsidRPr="003A3684">
              <w:rPr>
                <w:rFonts w:ascii="Palatino Linotype" w:hAnsi="Palatino Linotype" w:cs="Arial"/>
                <w:b/>
              </w:rPr>
              <w:t xml:space="preserve">MINNESOTA </w:t>
            </w:r>
            <w:r w:rsidR="00A30990" w:rsidRPr="003A3684">
              <w:rPr>
                <w:rFonts w:ascii="Palatino Linotype" w:hAnsi="Palatino Linotype" w:cs="Arial"/>
                <w:b/>
              </w:rPr>
              <w:t>STATE COLLEGES AND UNIVERSITIES</w:t>
            </w:r>
            <w:r w:rsidR="00A30990" w:rsidRPr="003A3684">
              <w:rPr>
                <w:rStyle w:val="FootnoteReference"/>
                <w:rFonts w:ascii="Palatino Linotype" w:hAnsi="Palatino Linotype" w:cs="Arial"/>
                <w:b/>
              </w:rPr>
              <w:footnoteReference w:id="1"/>
            </w:r>
          </w:p>
          <w:p w:rsidR="004F1268" w:rsidRPr="003A3684" w:rsidRDefault="002F69C2" w:rsidP="008132C7">
            <w:pPr>
              <w:spacing w:after="120"/>
              <w:jc w:val="center"/>
              <w:rPr>
                <w:rFonts w:ascii="Palatino Linotype" w:hAnsi="Palatino Linotype" w:cs="Arial"/>
                <w:b/>
                <w:color w:val="FF0000"/>
              </w:rPr>
            </w:pPr>
            <w:r w:rsidRPr="003A3684">
              <w:rPr>
                <w:rFonts w:ascii="Palatino Linotype" w:hAnsi="Palatino Linotype" w:cs="Arial"/>
                <w:b/>
              </w:rPr>
              <w:t>ENGINEERING BROAD FIELD AGREEMENT</w:t>
            </w:r>
            <w:r w:rsidR="0092404C">
              <w:rPr>
                <w:rFonts w:ascii="Palatino Linotype" w:hAnsi="Palatino Linotype" w:cs="Arial"/>
                <w:b/>
              </w:rPr>
              <w:t xml:space="preserve"> </w:t>
            </w:r>
          </w:p>
        </w:tc>
      </w:tr>
    </w:tbl>
    <w:p w:rsidR="00A30990" w:rsidRPr="008132C7" w:rsidRDefault="00154A02" w:rsidP="00A30990">
      <w:pPr>
        <w:spacing w:before="120" w:after="0"/>
        <w:rPr>
          <w:rFonts w:ascii="Palatino Linotype" w:hAnsi="Palatino Linotype" w:cs="Arial"/>
          <w:color w:val="000000"/>
          <w:sz w:val="20"/>
          <w:szCs w:val="20"/>
        </w:rPr>
      </w:pPr>
      <w:r w:rsidRPr="008132C7">
        <w:rPr>
          <w:rFonts w:ascii="Palatino Linotype" w:hAnsi="Palatino Linotype" w:cs="Arial"/>
          <w:color w:val="000000"/>
          <w:sz w:val="20"/>
          <w:szCs w:val="20"/>
        </w:rPr>
        <w:t xml:space="preserve">This Agreement is entered into between </w:t>
      </w:r>
      <w:r w:rsidR="000E79FE" w:rsidRPr="008132C7">
        <w:rPr>
          <w:rFonts w:ascii="Palatino Linotype" w:hAnsi="Palatino Linotype" w:cs="Arial"/>
          <w:color w:val="000000"/>
          <w:sz w:val="20"/>
          <w:szCs w:val="20"/>
        </w:rPr>
        <w:t>Minnesota State University, Mankato</w:t>
      </w:r>
      <w:r w:rsidR="00331CFE" w:rsidRPr="008132C7">
        <w:rPr>
          <w:rFonts w:ascii="Palatino Linotype" w:hAnsi="Palatino Linotype" w:cs="Arial"/>
          <w:color w:val="000000"/>
          <w:sz w:val="20"/>
          <w:szCs w:val="20"/>
        </w:rPr>
        <w:t>;</w:t>
      </w:r>
      <w:r w:rsidRPr="008132C7">
        <w:rPr>
          <w:rFonts w:ascii="Palatino Linotype" w:hAnsi="Palatino Linotype" w:cs="Arial"/>
          <w:color w:val="000000"/>
          <w:sz w:val="20"/>
          <w:szCs w:val="20"/>
        </w:rPr>
        <w:t xml:space="preserve"> St. Cloud State University</w:t>
      </w:r>
      <w:r w:rsidR="00331CFE" w:rsidRPr="008132C7">
        <w:rPr>
          <w:rFonts w:ascii="Palatino Linotype" w:hAnsi="Palatino Linotype" w:cs="Arial"/>
          <w:color w:val="000000"/>
          <w:sz w:val="20"/>
          <w:szCs w:val="20"/>
        </w:rPr>
        <w:t>;</w:t>
      </w:r>
      <w:r w:rsidR="000E79FE" w:rsidRPr="008132C7">
        <w:rPr>
          <w:rFonts w:ascii="Palatino Linotype" w:hAnsi="Palatino Linotype" w:cs="Arial"/>
          <w:color w:val="000000"/>
          <w:sz w:val="20"/>
          <w:szCs w:val="20"/>
        </w:rPr>
        <w:t xml:space="preserve"> </w:t>
      </w:r>
      <w:r w:rsidR="00B456CF" w:rsidRPr="008132C7">
        <w:rPr>
          <w:rFonts w:ascii="Palatino Linotype" w:hAnsi="Palatino Linotype" w:cs="Arial"/>
          <w:color w:val="000000"/>
          <w:sz w:val="20"/>
          <w:szCs w:val="20"/>
        </w:rPr>
        <w:t>Winona State University;</w:t>
      </w:r>
      <w:r w:rsidR="000E79FE" w:rsidRPr="008132C7">
        <w:rPr>
          <w:rFonts w:ascii="Palatino Linotype" w:hAnsi="Palatino Linotype" w:cs="Arial"/>
          <w:color w:val="000000"/>
          <w:sz w:val="20"/>
          <w:szCs w:val="20"/>
        </w:rPr>
        <w:t xml:space="preserve"> </w:t>
      </w:r>
      <w:r w:rsidR="004730ED" w:rsidRPr="008132C7">
        <w:rPr>
          <w:rFonts w:ascii="Palatino Linotype" w:hAnsi="Palatino Linotype" w:cs="Arial"/>
          <w:color w:val="000000"/>
          <w:sz w:val="20"/>
          <w:szCs w:val="20"/>
        </w:rPr>
        <w:t xml:space="preserve">University of Minnesota; University of Minnesota, Duluth </w:t>
      </w:r>
      <w:r w:rsidRPr="008132C7">
        <w:rPr>
          <w:rFonts w:ascii="Palatino Linotype" w:hAnsi="Palatino Linotype" w:cs="Arial"/>
          <w:color w:val="000000"/>
          <w:sz w:val="20"/>
          <w:szCs w:val="20"/>
        </w:rPr>
        <w:t xml:space="preserve">and </w:t>
      </w:r>
      <w:r w:rsidR="004730ED" w:rsidRPr="008132C7">
        <w:rPr>
          <w:rFonts w:ascii="Palatino Linotype" w:hAnsi="Palatino Linotype" w:cs="Arial"/>
          <w:color w:val="000000"/>
          <w:sz w:val="20"/>
          <w:szCs w:val="20"/>
        </w:rPr>
        <w:t>any s</w:t>
      </w:r>
      <w:r w:rsidRPr="008132C7">
        <w:rPr>
          <w:rFonts w:ascii="Palatino Linotype" w:hAnsi="Palatino Linotype" w:cs="Arial"/>
          <w:color w:val="000000"/>
          <w:sz w:val="20"/>
          <w:szCs w:val="20"/>
        </w:rPr>
        <w:t xml:space="preserve">ystem college approved to offer the </w:t>
      </w:r>
      <w:r w:rsidR="00151AF2" w:rsidRPr="00337468">
        <w:rPr>
          <w:rFonts w:ascii="Palatino Linotype" w:hAnsi="Palatino Linotype" w:cs="Arial"/>
          <w:color w:val="000000"/>
          <w:sz w:val="20"/>
          <w:szCs w:val="20"/>
        </w:rPr>
        <w:t xml:space="preserve">Associate in Science </w:t>
      </w:r>
      <w:r w:rsidR="008E2267" w:rsidRPr="00337468">
        <w:rPr>
          <w:rFonts w:ascii="Palatino Linotype" w:hAnsi="Palatino Linotype" w:cs="Arial"/>
          <w:color w:val="000000"/>
          <w:sz w:val="20"/>
          <w:szCs w:val="20"/>
        </w:rPr>
        <w:t>Engineering B</w:t>
      </w:r>
      <w:r w:rsidR="00151AF2" w:rsidRPr="00337468">
        <w:rPr>
          <w:rFonts w:ascii="Palatino Linotype" w:hAnsi="Palatino Linotype" w:cs="Arial"/>
          <w:color w:val="000000"/>
          <w:sz w:val="20"/>
          <w:szCs w:val="20"/>
        </w:rPr>
        <w:t xml:space="preserve">road Field </w:t>
      </w:r>
      <w:r w:rsidRPr="008132C7">
        <w:rPr>
          <w:rFonts w:ascii="Palatino Linotype" w:hAnsi="Palatino Linotype" w:cs="Arial"/>
          <w:color w:val="000000"/>
          <w:sz w:val="20"/>
          <w:szCs w:val="20"/>
        </w:rPr>
        <w:t xml:space="preserve">degree program.   </w:t>
      </w:r>
      <w:r w:rsidR="004730ED" w:rsidRPr="008132C7">
        <w:rPr>
          <w:rFonts w:ascii="Palatino Linotype" w:hAnsi="Palatino Linotype" w:cs="Arial"/>
          <w:color w:val="000000"/>
          <w:sz w:val="20"/>
          <w:szCs w:val="20"/>
        </w:rPr>
        <w:t xml:space="preserve">Any system college that offers the Associate in Science Engineering Broad Field program is a party to this agreement. </w:t>
      </w:r>
      <w:r w:rsidR="00A30990" w:rsidRPr="008132C7">
        <w:rPr>
          <w:rFonts w:ascii="Palatino Linotype" w:hAnsi="Palatino Linotype" w:cs="Arial"/>
          <w:color w:val="000000"/>
          <w:sz w:val="20"/>
          <w:szCs w:val="20"/>
        </w:rPr>
        <w:t>This Agreement and any amendments and supplements, shall be interpreted pursuant to the laws of the State of Minnesota.</w:t>
      </w:r>
    </w:p>
    <w:p w:rsidR="00C13CE4" w:rsidRPr="00337468" w:rsidRDefault="00154A02" w:rsidP="00A30990">
      <w:pPr>
        <w:spacing w:before="120" w:after="120"/>
        <w:rPr>
          <w:rFonts w:ascii="Palatino Linotype" w:hAnsi="Palatino Linotype" w:cs="Arial"/>
          <w:color w:val="000000"/>
          <w:sz w:val="20"/>
          <w:szCs w:val="20"/>
        </w:rPr>
      </w:pPr>
      <w:r w:rsidRPr="00337468">
        <w:rPr>
          <w:rFonts w:ascii="Palatino Linotype" w:hAnsi="Palatino Linotype" w:cs="Arial"/>
          <w:color w:val="000000"/>
          <w:sz w:val="20"/>
          <w:szCs w:val="20"/>
        </w:rPr>
        <w:t xml:space="preserve">This agreement is </w:t>
      </w:r>
      <w:r w:rsidR="00674EAD" w:rsidRPr="00337468">
        <w:rPr>
          <w:rFonts w:ascii="Palatino Linotype" w:hAnsi="Palatino Linotype" w:cs="Arial"/>
          <w:color w:val="000000"/>
          <w:sz w:val="20"/>
          <w:szCs w:val="20"/>
        </w:rPr>
        <w:t xml:space="preserve">applicable to </w:t>
      </w:r>
      <w:r w:rsidR="008E2267" w:rsidRPr="00337468">
        <w:rPr>
          <w:rFonts w:ascii="Palatino Linotype" w:hAnsi="Palatino Linotype" w:cs="Arial"/>
          <w:color w:val="000000"/>
          <w:sz w:val="20"/>
          <w:szCs w:val="20"/>
        </w:rPr>
        <w:t xml:space="preserve">university engineering </w:t>
      </w:r>
      <w:r w:rsidR="00674EAD" w:rsidRPr="00337468">
        <w:rPr>
          <w:rFonts w:ascii="Palatino Linotype" w:hAnsi="Palatino Linotype" w:cs="Arial"/>
          <w:color w:val="000000"/>
          <w:sz w:val="20"/>
          <w:szCs w:val="20"/>
        </w:rPr>
        <w:t xml:space="preserve">degree </w:t>
      </w:r>
      <w:r w:rsidRPr="00337468">
        <w:rPr>
          <w:rFonts w:ascii="Palatino Linotype" w:hAnsi="Palatino Linotype" w:cs="Arial"/>
          <w:color w:val="000000"/>
          <w:sz w:val="20"/>
          <w:szCs w:val="20"/>
        </w:rPr>
        <w:t xml:space="preserve">programs listed in </w:t>
      </w:r>
      <w:r w:rsidR="00674EAD" w:rsidRPr="00337468">
        <w:rPr>
          <w:rFonts w:ascii="Palatino Linotype" w:hAnsi="Palatino Linotype" w:cs="Arial"/>
          <w:color w:val="000000"/>
          <w:sz w:val="20"/>
          <w:szCs w:val="20"/>
        </w:rPr>
        <w:t>T</w:t>
      </w:r>
      <w:r w:rsidRPr="00337468">
        <w:rPr>
          <w:rFonts w:ascii="Palatino Linotype" w:hAnsi="Palatino Linotype" w:cs="Arial"/>
          <w:color w:val="000000"/>
          <w:sz w:val="20"/>
          <w:szCs w:val="20"/>
        </w:rPr>
        <w:t xml:space="preserve">able </w:t>
      </w:r>
      <w:r w:rsidR="008E2267" w:rsidRPr="00337468">
        <w:rPr>
          <w:rFonts w:ascii="Palatino Linotype" w:hAnsi="Palatino Linotype" w:cs="Arial"/>
          <w:color w:val="000000"/>
          <w:sz w:val="20"/>
          <w:szCs w:val="20"/>
        </w:rPr>
        <w:t>2</w:t>
      </w:r>
      <w:r w:rsidR="00674EAD" w:rsidRPr="00337468">
        <w:rPr>
          <w:rFonts w:ascii="Palatino Linotype" w:hAnsi="Palatino Linotype" w:cs="Arial"/>
          <w:color w:val="000000"/>
          <w:sz w:val="20"/>
          <w:szCs w:val="20"/>
        </w:rPr>
        <w:t xml:space="preserve"> </w:t>
      </w:r>
      <w:r w:rsidRPr="008132C7">
        <w:rPr>
          <w:rFonts w:ascii="Palatino Linotype" w:hAnsi="Palatino Linotype" w:cs="Arial"/>
          <w:color w:val="000000"/>
          <w:sz w:val="20"/>
          <w:szCs w:val="20"/>
        </w:rPr>
        <w:t xml:space="preserve">and </w:t>
      </w:r>
      <w:r w:rsidR="000E79FE" w:rsidRPr="008132C7">
        <w:rPr>
          <w:rFonts w:ascii="Palatino Linotype" w:hAnsi="Palatino Linotype" w:cs="Arial"/>
          <w:color w:val="000000"/>
          <w:sz w:val="20"/>
          <w:szCs w:val="20"/>
        </w:rPr>
        <w:t>S</w:t>
      </w:r>
      <w:r w:rsidRPr="008132C7">
        <w:rPr>
          <w:rFonts w:ascii="Palatino Linotype" w:hAnsi="Palatino Linotype" w:cs="Arial"/>
          <w:color w:val="000000"/>
          <w:sz w:val="20"/>
          <w:szCs w:val="20"/>
        </w:rPr>
        <w:t xml:space="preserve">ystem colleges approved to offer the </w:t>
      </w:r>
      <w:r w:rsidR="00151AF2" w:rsidRPr="00337468">
        <w:rPr>
          <w:rFonts w:ascii="Palatino Linotype" w:hAnsi="Palatino Linotype" w:cs="Arial"/>
          <w:color w:val="000000"/>
          <w:sz w:val="20"/>
          <w:szCs w:val="20"/>
        </w:rPr>
        <w:t xml:space="preserve">Associate in Science </w:t>
      </w:r>
      <w:r w:rsidR="001E5ED2" w:rsidRPr="00337468">
        <w:rPr>
          <w:rFonts w:ascii="Palatino Linotype" w:hAnsi="Palatino Linotype" w:cs="Arial"/>
          <w:color w:val="000000"/>
          <w:sz w:val="20"/>
          <w:szCs w:val="20"/>
        </w:rPr>
        <w:t>Engineering</w:t>
      </w:r>
      <w:r w:rsidR="00151AF2" w:rsidRPr="00337468">
        <w:rPr>
          <w:rFonts w:ascii="Palatino Linotype" w:hAnsi="Palatino Linotype" w:cs="Arial"/>
          <w:color w:val="000000"/>
          <w:sz w:val="20"/>
          <w:szCs w:val="20"/>
        </w:rPr>
        <w:t xml:space="preserve"> Broad Field </w:t>
      </w:r>
      <w:r w:rsidRPr="008132C7">
        <w:rPr>
          <w:rFonts w:ascii="Palatino Linotype" w:hAnsi="Palatino Linotype" w:cs="Arial"/>
          <w:color w:val="000000"/>
          <w:sz w:val="20"/>
          <w:szCs w:val="20"/>
        </w:rPr>
        <w:t>degree program</w:t>
      </w:r>
      <w:r w:rsidR="008E2267" w:rsidRPr="008132C7">
        <w:rPr>
          <w:rFonts w:ascii="Palatino Linotype" w:hAnsi="Palatino Linotype" w:cs="Arial"/>
          <w:color w:val="000000"/>
          <w:sz w:val="20"/>
          <w:szCs w:val="20"/>
        </w:rPr>
        <w:t xml:space="preserve"> as outlined in Table 1</w:t>
      </w:r>
      <w:r w:rsidRPr="008132C7">
        <w:rPr>
          <w:rFonts w:ascii="Palatino Linotype" w:hAnsi="Palatino Linotype" w:cs="Arial"/>
          <w:color w:val="000000"/>
          <w:sz w:val="20"/>
          <w:szCs w:val="20"/>
        </w:rPr>
        <w:t>.  This agreement will</w:t>
      </w:r>
      <w:r w:rsidRPr="00337468">
        <w:rPr>
          <w:rFonts w:ascii="Palatino Linotype" w:hAnsi="Palatino Linotype" w:cs="Arial"/>
          <w:color w:val="000000"/>
          <w:sz w:val="20"/>
          <w:szCs w:val="20"/>
        </w:rPr>
        <w:t xml:space="preserve"> </w:t>
      </w:r>
      <w:r w:rsidRPr="008132C7">
        <w:rPr>
          <w:rFonts w:ascii="Palatino Linotype" w:hAnsi="Palatino Linotype" w:cs="Arial"/>
          <w:color w:val="000000"/>
          <w:sz w:val="20"/>
          <w:szCs w:val="20"/>
        </w:rPr>
        <w:t>facilitate credit transfer and provide a smooth transition from one related program to another</w:t>
      </w:r>
      <w:r w:rsidRPr="00337468">
        <w:rPr>
          <w:rFonts w:ascii="Palatino Linotype" w:hAnsi="Palatino Linotype" w:cs="Arial"/>
          <w:color w:val="000000"/>
          <w:sz w:val="20"/>
          <w:szCs w:val="20"/>
        </w:rPr>
        <w:t>.</w:t>
      </w:r>
      <w:r w:rsidR="00E42967" w:rsidRPr="00337468">
        <w:rPr>
          <w:rFonts w:ascii="Palatino Linotype" w:hAnsi="Palatino Linotype" w:cs="Arial"/>
          <w:color w:val="000000"/>
          <w:sz w:val="20"/>
          <w:szCs w:val="20"/>
        </w:rPr>
        <w:t xml:space="preserve">  </w:t>
      </w:r>
      <w:r w:rsidRPr="00337468">
        <w:rPr>
          <w:rFonts w:ascii="Palatino Linotype" w:hAnsi="Palatino Linotype" w:cs="Arial"/>
          <w:color w:val="000000"/>
          <w:sz w:val="20"/>
          <w:szCs w:val="20"/>
        </w:rPr>
        <w:t xml:space="preserve">It is mutually agreed </w:t>
      </w:r>
      <w:r w:rsidR="00687F09" w:rsidRPr="00337468">
        <w:rPr>
          <w:rFonts w:ascii="Palatino Linotype" w:hAnsi="Palatino Linotype" w:cs="Arial"/>
          <w:color w:val="000000"/>
          <w:sz w:val="20"/>
          <w:szCs w:val="20"/>
        </w:rPr>
        <w:t>that</w:t>
      </w:r>
      <w:r w:rsidRPr="00337468">
        <w:rPr>
          <w:rFonts w:ascii="Palatino Linotype" w:hAnsi="Palatino Linotype" w:cs="Arial"/>
          <w:color w:val="000000"/>
          <w:sz w:val="20"/>
          <w:szCs w:val="20"/>
        </w:rPr>
        <w:t xml:space="preserve">: </w:t>
      </w:r>
    </w:p>
    <w:p w:rsidR="00154A02" w:rsidRPr="00337468" w:rsidRDefault="00154A02" w:rsidP="00E42967">
      <w:pPr>
        <w:spacing w:after="0"/>
        <w:jc w:val="both"/>
        <w:rPr>
          <w:rFonts w:ascii="Palatino Linotype" w:hAnsi="Palatino Linotype" w:cs="Arial"/>
          <w:sz w:val="20"/>
          <w:szCs w:val="20"/>
          <w:u w:val="single"/>
        </w:rPr>
      </w:pPr>
      <w:r w:rsidRPr="00337468">
        <w:rPr>
          <w:rFonts w:ascii="Palatino Linotype" w:hAnsi="Palatino Linotype" w:cs="Arial"/>
          <w:sz w:val="20"/>
          <w:szCs w:val="20"/>
          <w:u w:val="single"/>
        </w:rPr>
        <w:t xml:space="preserve">Admission and </w:t>
      </w:r>
      <w:r w:rsidRPr="00337468">
        <w:rPr>
          <w:rFonts w:ascii="Palatino Linotype" w:hAnsi="Palatino Linotype" w:cs="Arial"/>
          <w:bCs/>
          <w:sz w:val="20"/>
          <w:szCs w:val="20"/>
          <w:u w:val="single"/>
        </w:rPr>
        <w:t xml:space="preserve">Graduation </w:t>
      </w:r>
      <w:r w:rsidRPr="00337468">
        <w:rPr>
          <w:rFonts w:ascii="Palatino Linotype" w:hAnsi="Palatino Linotype" w:cs="Arial"/>
          <w:sz w:val="20"/>
          <w:szCs w:val="20"/>
          <w:u w:val="single"/>
        </w:rPr>
        <w:t>Requirements</w:t>
      </w:r>
    </w:p>
    <w:p w:rsidR="00154A02" w:rsidRPr="00337468" w:rsidRDefault="00154A02" w:rsidP="00E42967">
      <w:pPr>
        <w:numPr>
          <w:ilvl w:val="0"/>
          <w:numId w:val="11"/>
        </w:numPr>
        <w:spacing w:after="0" w:line="240" w:lineRule="auto"/>
        <w:rPr>
          <w:rFonts w:ascii="Palatino Linotype" w:hAnsi="Palatino Linotype" w:cs="Arial"/>
          <w:color w:val="000000"/>
          <w:sz w:val="20"/>
          <w:szCs w:val="20"/>
        </w:rPr>
      </w:pPr>
      <w:r w:rsidRPr="00337468">
        <w:rPr>
          <w:rFonts w:ascii="Palatino Linotype" w:hAnsi="Palatino Linotype" w:cs="Arial"/>
          <w:color w:val="000000"/>
          <w:sz w:val="20"/>
          <w:szCs w:val="20"/>
        </w:rPr>
        <w:t xml:space="preserve">System university </w:t>
      </w:r>
      <w:r w:rsidRPr="00337468">
        <w:rPr>
          <w:rFonts w:ascii="Palatino Linotype" w:hAnsi="Palatino Linotype" w:cs="Arial"/>
          <w:sz w:val="20"/>
          <w:szCs w:val="20"/>
        </w:rPr>
        <w:t xml:space="preserve">admission and program admission requirements apply </w:t>
      </w:r>
      <w:r w:rsidR="00C86B33" w:rsidRPr="00337468">
        <w:rPr>
          <w:rFonts w:ascii="Palatino Linotype" w:hAnsi="Palatino Linotype" w:cs="Arial"/>
          <w:sz w:val="20"/>
          <w:szCs w:val="20"/>
        </w:rPr>
        <w:t xml:space="preserve">equally </w:t>
      </w:r>
      <w:r w:rsidRPr="00337468">
        <w:rPr>
          <w:rFonts w:ascii="Palatino Linotype" w:hAnsi="Palatino Linotype" w:cs="Arial"/>
          <w:sz w:val="20"/>
          <w:szCs w:val="20"/>
        </w:rPr>
        <w:t>to both direct entry students and to students who transfer under this agreement.</w:t>
      </w:r>
    </w:p>
    <w:p w:rsidR="000E79FE" w:rsidRPr="00337468" w:rsidRDefault="000E79FE" w:rsidP="000E79FE">
      <w:pPr>
        <w:pStyle w:val="NormalWeb"/>
        <w:widowControl w:val="0"/>
        <w:numPr>
          <w:ilvl w:val="0"/>
          <w:numId w:val="11"/>
        </w:numPr>
        <w:tabs>
          <w:tab w:val="left" w:pos="1500"/>
          <w:tab w:val="left" w:pos="3000"/>
        </w:tabs>
        <w:autoSpaceDE w:val="0"/>
        <w:autoSpaceDN w:val="0"/>
        <w:adjustRightInd w:val="0"/>
        <w:spacing w:before="120" w:beforeAutospacing="0" w:after="0" w:afterAutospacing="0"/>
        <w:rPr>
          <w:rFonts w:ascii="Palatino Linotype" w:hAnsi="Palatino Linotype" w:cs="Arial"/>
          <w:sz w:val="20"/>
          <w:szCs w:val="20"/>
        </w:rPr>
      </w:pPr>
      <w:r w:rsidRPr="00337468">
        <w:rPr>
          <w:rFonts w:ascii="Palatino Linotype" w:hAnsi="Palatino Linotype" w:cs="Arial"/>
          <w:sz w:val="20"/>
          <w:szCs w:val="20"/>
        </w:rPr>
        <w:t xml:space="preserve">Baccalaureate engineering degree programs may have limited enrollment capacity with seats available on a competitive basis.  </w:t>
      </w:r>
    </w:p>
    <w:p w:rsidR="000E79FE" w:rsidRPr="00337468" w:rsidRDefault="000E79FE" w:rsidP="00E42967">
      <w:pPr>
        <w:pStyle w:val="NormalWeb"/>
        <w:widowControl w:val="0"/>
        <w:numPr>
          <w:ilvl w:val="0"/>
          <w:numId w:val="11"/>
        </w:numPr>
        <w:tabs>
          <w:tab w:val="left" w:pos="1500"/>
          <w:tab w:val="left" w:pos="3000"/>
        </w:tabs>
        <w:autoSpaceDE w:val="0"/>
        <w:autoSpaceDN w:val="0"/>
        <w:adjustRightInd w:val="0"/>
        <w:spacing w:before="120" w:beforeAutospacing="0" w:after="0" w:afterAutospacing="0"/>
        <w:rPr>
          <w:rFonts w:ascii="Palatino Linotype" w:hAnsi="Palatino Linotype" w:cs="Arial"/>
          <w:color w:val="000000"/>
          <w:sz w:val="20"/>
          <w:szCs w:val="20"/>
        </w:rPr>
      </w:pPr>
      <w:r w:rsidRPr="00337468">
        <w:rPr>
          <w:rFonts w:ascii="Palatino Linotype" w:hAnsi="Palatino Linotype" w:cs="Arial"/>
          <w:sz w:val="20"/>
          <w:szCs w:val="20"/>
        </w:rPr>
        <w:t xml:space="preserve">Completion of the Associate in Science Engineering Broad Field degree program does not guarantee admission to a baccalaureate degree program.  </w:t>
      </w:r>
    </w:p>
    <w:p w:rsidR="00154A02" w:rsidRPr="00337468" w:rsidRDefault="00154A02" w:rsidP="00A30990">
      <w:pPr>
        <w:numPr>
          <w:ilvl w:val="0"/>
          <w:numId w:val="11"/>
        </w:numPr>
        <w:spacing w:before="120" w:after="120" w:line="240" w:lineRule="auto"/>
        <w:rPr>
          <w:rFonts w:ascii="Palatino Linotype" w:hAnsi="Palatino Linotype" w:cs="Arial"/>
          <w:color w:val="000000"/>
          <w:sz w:val="20"/>
          <w:szCs w:val="20"/>
        </w:rPr>
      </w:pPr>
      <w:r w:rsidRPr="00337468">
        <w:rPr>
          <w:rFonts w:ascii="Palatino Linotype" w:hAnsi="Palatino Linotype" w:cs="Arial"/>
          <w:color w:val="000000"/>
          <w:sz w:val="20"/>
          <w:szCs w:val="20"/>
        </w:rPr>
        <w:t xml:space="preserve">Students accepted into a system university must fulfill the baccalaureate program graduation requirements. </w:t>
      </w:r>
    </w:p>
    <w:p w:rsidR="00154A02" w:rsidRPr="00EC408F" w:rsidRDefault="00154A02" w:rsidP="00EC408F">
      <w:pPr>
        <w:pStyle w:val="NormalWeb"/>
        <w:widowControl w:val="0"/>
        <w:tabs>
          <w:tab w:val="left" w:pos="1500"/>
          <w:tab w:val="left" w:pos="3000"/>
        </w:tabs>
        <w:autoSpaceDE w:val="0"/>
        <w:autoSpaceDN w:val="0"/>
        <w:adjustRightInd w:val="0"/>
        <w:spacing w:before="120" w:beforeAutospacing="0" w:after="0" w:afterAutospacing="0"/>
        <w:ind w:left="360"/>
        <w:rPr>
          <w:rFonts w:ascii="Palatino Linotype" w:hAnsi="Palatino Linotype" w:cs="Arial"/>
          <w:sz w:val="20"/>
          <w:szCs w:val="20"/>
        </w:rPr>
      </w:pPr>
      <w:r w:rsidRPr="00337468">
        <w:rPr>
          <w:rFonts w:ascii="Palatino Linotype" w:hAnsi="Palatino Linotype" w:cs="Arial"/>
          <w:bCs/>
          <w:sz w:val="20"/>
          <w:szCs w:val="20"/>
          <w:u w:val="single"/>
        </w:rPr>
        <w:t>Transfer of Credits</w:t>
      </w:r>
    </w:p>
    <w:p w:rsidR="008132C7" w:rsidRPr="008132C7" w:rsidRDefault="008132C7" w:rsidP="00A30990">
      <w:pPr>
        <w:pStyle w:val="NormalWeb"/>
        <w:widowControl w:val="0"/>
        <w:numPr>
          <w:ilvl w:val="0"/>
          <w:numId w:val="30"/>
        </w:numPr>
        <w:tabs>
          <w:tab w:val="left" w:pos="1500"/>
          <w:tab w:val="left" w:pos="3000"/>
        </w:tabs>
        <w:autoSpaceDE w:val="0"/>
        <w:autoSpaceDN w:val="0"/>
        <w:adjustRightInd w:val="0"/>
        <w:spacing w:before="120" w:beforeAutospacing="0" w:after="0" w:afterAutospacing="0"/>
        <w:rPr>
          <w:rFonts w:ascii="Palatino Linotype" w:hAnsi="Palatino Linotype" w:cs="Arial"/>
          <w:sz w:val="20"/>
          <w:szCs w:val="20"/>
        </w:rPr>
      </w:pPr>
      <w:r w:rsidRPr="00337468">
        <w:rPr>
          <w:rFonts w:ascii="Palatino Linotype" w:hAnsi="Palatino Linotype" w:cs="Arial"/>
          <w:sz w:val="20"/>
          <w:szCs w:val="20"/>
        </w:rPr>
        <w:t xml:space="preserve">Engineering Broad Field degree program required courses are listed in Table 1.  MnSCU colleges and universities will provide advising to students on the selection of elective courses most suited </w:t>
      </w:r>
      <w:r>
        <w:rPr>
          <w:rFonts w:ascii="Palatino Linotype" w:hAnsi="Palatino Linotype" w:cs="Arial"/>
          <w:sz w:val="20"/>
          <w:szCs w:val="20"/>
        </w:rPr>
        <w:t>to</w:t>
      </w:r>
      <w:r w:rsidRPr="00337468">
        <w:rPr>
          <w:rFonts w:ascii="Palatino Linotype" w:hAnsi="Palatino Linotype" w:cs="Arial"/>
          <w:sz w:val="20"/>
          <w:szCs w:val="20"/>
        </w:rPr>
        <w:t xml:space="preserve"> the student’s intended engineering baccalaureate major.</w:t>
      </w:r>
      <w:r w:rsidRPr="00F80F6D">
        <w:rPr>
          <w:rFonts w:ascii="Palatino Linotype" w:hAnsi="Palatino Linotype" w:cs="Arial"/>
          <w:sz w:val="22"/>
          <w:szCs w:val="22"/>
        </w:rPr>
        <w:t xml:space="preserve">  </w:t>
      </w:r>
    </w:p>
    <w:p w:rsidR="00EC408F" w:rsidRPr="008132C7" w:rsidRDefault="00337468" w:rsidP="00A30990">
      <w:pPr>
        <w:pStyle w:val="NormalWeb"/>
        <w:widowControl w:val="0"/>
        <w:numPr>
          <w:ilvl w:val="0"/>
          <w:numId w:val="30"/>
        </w:numPr>
        <w:tabs>
          <w:tab w:val="left" w:pos="1500"/>
          <w:tab w:val="left" w:pos="3000"/>
        </w:tabs>
        <w:autoSpaceDE w:val="0"/>
        <w:autoSpaceDN w:val="0"/>
        <w:adjustRightInd w:val="0"/>
        <w:spacing w:before="120" w:beforeAutospacing="0" w:after="0" w:afterAutospacing="0"/>
        <w:rPr>
          <w:rFonts w:ascii="Palatino Linotype" w:hAnsi="Palatino Linotype" w:cs="Arial"/>
          <w:sz w:val="20"/>
          <w:szCs w:val="20"/>
        </w:rPr>
      </w:pPr>
      <w:r w:rsidRPr="008132C7">
        <w:rPr>
          <w:rFonts w:ascii="Palatino Linotype" w:hAnsi="Palatino Linotype" w:cs="Arial"/>
          <w:sz w:val="20"/>
          <w:szCs w:val="20"/>
        </w:rPr>
        <w:t xml:space="preserve">All general education courses named in Table 1. transfer and count toward the university engineering baccalaureate degree program requirements.  MnTC Goal Areas are determined by the sending college. </w:t>
      </w:r>
      <w:r w:rsidR="00EC408F" w:rsidRPr="008132C7">
        <w:rPr>
          <w:rFonts w:ascii="Palatino Linotype" w:hAnsi="Palatino Linotype" w:cs="Arial"/>
          <w:sz w:val="20"/>
          <w:szCs w:val="20"/>
        </w:rPr>
        <w:t xml:space="preserve">  </w:t>
      </w:r>
    </w:p>
    <w:p w:rsidR="002F69C2" w:rsidRPr="00EC408F" w:rsidRDefault="00154A02" w:rsidP="00A30990">
      <w:pPr>
        <w:pStyle w:val="NormalWeb"/>
        <w:widowControl w:val="0"/>
        <w:numPr>
          <w:ilvl w:val="0"/>
          <w:numId w:val="30"/>
        </w:numPr>
        <w:tabs>
          <w:tab w:val="left" w:pos="1500"/>
          <w:tab w:val="left" w:pos="3000"/>
        </w:tabs>
        <w:autoSpaceDE w:val="0"/>
        <w:autoSpaceDN w:val="0"/>
        <w:adjustRightInd w:val="0"/>
        <w:spacing w:before="120" w:beforeAutospacing="0" w:after="0" w:afterAutospacing="0"/>
        <w:rPr>
          <w:rFonts w:ascii="Palatino Linotype" w:hAnsi="Palatino Linotype" w:cs="Arial"/>
          <w:sz w:val="20"/>
          <w:szCs w:val="20"/>
        </w:rPr>
      </w:pPr>
      <w:r w:rsidRPr="00EC408F">
        <w:rPr>
          <w:rFonts w:ascii="Palatino Linotype" w:hAnsi="Palatino Linotype" w:cs="Arial"/>
          <w:sz w:val="20"/>
          <w:szCs w:val="20"/>
        </w:rPr>
        <w:t xml:space="preserve">All </w:t>
      </w:r>
      <w:r w:rsidR="00337468" w:rsidRPr="00EC408F">
        <w:rPr>
          <w:rFonts w:ascii="Palatino Linotype" w:hAnsi="Palatino Linotype" w:cs="Arial"/>
          <w:sz w:val="20"/>
          <w:szCs w:val="20"/>
        </w:rPr>
        <w:t xml:space="preserve">engineering specialty </w:t>
      </w:r>
      <w:r w:rsidRPr="00EC408F">
        <w:rPr>
          <w:rFonts w:ascii="Palatino Linotype" w:hAnsi="Palatino Linotype" w:cs="Arial"/>
          <w:sz w:val="20"/>
          <w:szCs w:val="20"/>
        </w:rPr>
        <w:t xml:space="preserve">courses </w:t>
      </w:r>
      <w:r w:rsidR="00337468" w:rsidRPr="00EC408F">
        <w:rPr>
          <w:rFonts w:ascii="Palatino Linotype" w:hAnsi="Palatino Linotype" w:cs="Arial"/>
          <w:sz w:val="20"/>
          <w:szCs w:val="20"/>
        </w:rPr>
        <w:t xml:space="preserve">labeled </w:t>
      </w:r>
      <w:r w:rsidR="00EC408F">
        <w:rPr>
          <w:rFonts w:ascii="Palatino Linotype" w:hAnsi="Palatino Linotype" w:cs="Arial"/>
          <w:sz w:val="20"/>
          <w:szCs w:val="20"/>
        </w:rPr>
        <w:t>R</w:t>
      </w:r>
      <w:r w:rsidR="00337468" w:rsidRPr="00EC408F">
        <w:rPr>
          <w:rFonts w:ascii="Palatino Linotype" w:hAnsi="Palatino Linotype" w:cs="Arial"/>
          <w:sz w:val="20"/>
          <w:szCs w:val="20"/>
        </w:rPr>
        <w:t>equired</w:t>
      </w:r>
      <w:r w:rsidR="00EC408F">
        <w:rPr>
          <w:rFonts w:ascii="Palatino Linotype" w:hAnsi="Palatino Linotype" w:cs="Arial"/>
          <w:sz w:val="20"/>
          <w:szCs w:val="20"/>
        </w:rPr>
        <w:t xml:space="preserve"> (Req</w:t>
      </w:r>
      <w:r w:rsidR="00337468" w:rsidRPr="00EC408F">
        <w:rPr>
          <w:rFonts w:ascii="Palatino Linotype" w:hAnsi="Palatino Linotype" w:cs="Arial"/>
          <w:sz w:val="20"/>
          <w:szCs w:val="20"/>
        </w:rPr>
        <w:t xml:space="preserve">) within the chosen specialty area in Table 1. </w:t>
      </w:r>
      <w:r w:rsidR="00C85D36" w:rsidRPr="00EC408F">
        <w:rPr>
          <w:rFonts w:ascii="Palatino Linotype" w:hAnsi="Palatino Linotype" w:cs="Arial"/>
          <w:sz w:val="20"/>
          <w:szCs w:val="20"/>
        </w:rPr>
        <w:t>t</w:t>
      </w:r>
      <w:r w:rsidR="00337468" w:rsidRPr="00EC408F">
        <w:rPr>
          <w:rFonts w:ascii="Palatino Linotype" w:hAnsi="Palatino Linotype" w:cs="Arial"/>
          <w:sz w:val="20"/>
          <w:szCs w:val="20"/>
        </w:rPr>
        <w:t xml:space="preserve">ransfer and count toward the university baccalaureate degree program requirements.  Students must consult with an advisor or transfer specialist to determine whether courses labeled </w:t>
      </w:r>
      <w:r w:rsidR="00EC408F">
        <w:rPr>
          <w:rFonts w:ascii="Palatino Linotype" w:hAnsi="Palatino Linotype" w:cs="Arial"/>
          <w:sz w:val="20"/>
          <w:szCs w:val="20"/>
        </w:rPr>
        <w:t>As Advised (Adv</w:t>
      </w:r>
      <w:r w:rsidR="00337468" w:rsidRPr="00EC408F">
        <w:rPr>
          <w:rFonts w:ascii="Palatino Linotype" w:hAnsi="Palatino Linotype" w:cs="Arial"/>
          <w:sz w:val="20"/>
          <w:szCs w:val="20"/>
        </w:rPr>
        <w:t xml:space="preserve">) will transfer to a particular university engineering program.  </w:t>
      </w:r>
      <w:r w:rsidR="002F69C2" w:rsidRPr="00EC408F">
        <w:rPr>
          <w:rFonts w:ascii="Palatino Linotype" w:hAnsi="Palatino Linotype" w:cs="Arial"/>
          <w:sz w:val="20"/>
          <w:szCs w:val="20"/>
        </w:rPr>
        <w:t xml:space="preserve"> </w:t>
      </w:r>
      <w:r w:rsidR="00EC408F" w:rsidRPr="00EC408F">
        <w:rPr>
          <w:rFonts w:ascii="Palatino Linotype" w:hAnsi="Palatino Linotype" w:cs="Arial"/>
          <w:sz w:val="20"/>
          <w:szCs w:val="20"/>
        </w:rPr>
        <w:t xml:space="preserve">Specific advising information, including the name of the college and the specific university engineering program should be retained by students for reference in the case of an appeal.  </w:t>
      </w:r>
    </w:p>
    <w:p w:rsidR="00BB3578" w:rsidRPr="008132C7" w:rsidRDefault="000E79FE" w:rsidP="008132C7">
      <w:pPr>
        <w:pStyle w:val="NormalWeb"/>
        <w:widowControl w:val="0"/>
        <w:numPr>
          <w:ilvl w:val="0"/>
          <w:numId w:val="30"/>
        </w:numPr>
        <w:tabs>
          <w:tab w:val="left" w:pos="1500"/>
          <w:tab w:val="left" w:pos="3000"/>
        </w:tabs>
        <w:autoSpaceDE w:val="0"/>
        <w:autoSpaceDN w:val="0"/>
        <w:adjustRightInd w:val="0"/>
        <w:spacing w:before="120" w:beforeAutospacing="0" w:after="120" w:afterAutospacing="0"/>
        <w:rPr>
          <w:rFonts w:ascii="Palatino Linotype" w:hAnsi="Palatino Linotype" w:cs="Arial"/>
          <w:sz w:val="22"/>
          <w:szCs w:val="22"/>
        </w:rPr>
      </w:pPr>
      <w:r w:rsidRPr="008132C7">
        <w:rPr>
          <w:rFonts w:ascii="Palatino Linotype" w:hAnsi="Palatino Linotype" w:cs="Arial"/>
          <w:sz w:val="20"/>
          <w:szCs w:val="20"/>
        </w:rPr>
        <w:t>St</w:t>
      </w:r>
      <w:r w:rsidR="00873D4E" w:rsidRPr="008132C7">
        <w:rPr>
          <w:rFonts w:ascii="Palatino Linotype" w:hAnsi="Palatino Linotype" w:cs="Arial"/>
          <w:sz w:val="20"/>
          <w:szCs w:val="20"/>
        </w:rPr>
        <w:t xml:space="preserve">udents must </w:t>
      </w:r>
      <w:r w:rsidR="004F328E" w:rsidRPr="008132C7">
        <w:rPr>
          <w:rFonts w:ascii="Palatino Linotype" w:hAnsi="Palatino Linotype" w:cs="Arial"/>
          <w:sz w:val="20"/>
          <w:szCs w:val="20"/>
        </w:rPr>
        <w:t>meet</w:t>
      </w:r>
      <w:r w:rsidR="00873D4E" w:rsidRPr="008132C7">
        <w:rPr>
          <w:rFonts w:ascii="Palatino Linotype" w:hAnsi="Palatino Linotype" w:cs="Arial"/>
          <w:sz w:val="20"/>
          <w:szCs w:val="20"/>
        </w:rPr>
        <w:t xml:space="preserve"> at least </w:t>
      </w:r>
      <w:r w:rsidR="00151AF2" w:rsidRPr="008132C7">
        <w:rPr>
          <w:rFonts w:ascii="Palatino Linotype" w:hAnsi="Palatino Linotype" w:cs="Arial"/>
          <w:sz w:val="20"/>
          <w:szCs w:val="20"/>
        </w:rPr>
        <w:t xml:space="preserve">six </w:t>
      </w:r>
      <w:r w:rsidR="00873D4E" w:rsidRPr="008132C7">
        <w:rPr>
          <w:rFonts w:ascii="Palatino Linotype" w:hAnsi="Palatino Linotype" w:cs="Arial"/>
          <w:sz w:val="20"/>
          <w:szCs w:val="20"/>
        </w:rPr>
        <w:t xml:space="preserve">of the </w:t>
      </w:r>
      <w:r w:rsidR="00151AF2" w:rsidRPr="008132C7">
        <w:rPr>
          <w:rFonts w:ascii="Palatino Linotype" w:hAnsi="Palatino Linotype" w:cs="Arial"/>
          <w:sz w:val="20"/>
          <w:szCs w:val="20"/>
        </w:rPr>
        <w:t>ten</w:t>
      </w:r>
      <w:r w:rsidR="00873D4E" w:rsidRPr="008132C7">
        <w:rPr>
          <w:rFonts w:ascii="Palatino Linotype" w:hAnsi="Palatino Linotype" w:cs="Arial"/>
          <w:sz w:val="20"/>
          <w:szCs w:val="20"/>
        </w:rPr>
        <w:t xml:space="preserve"> Minnesota Transfer curriculum goal areas to receive the Associate of Science in </w:t>
      </w:r>
      <w:r w:rsidR="00580216" w:rsidRPr="008132C7">
        <w:rPr>
          <w:rFonts w:ascii="Palatino Linotype" w:hAnsi="Palatino Linotype" w:cs="Arial"/>
          <w:sz w:val="20"/>
          <w:szCs w:val="20"/>
        </w:rPr>
        <w:t xml:space="preserve">Engineering </w:t>
      </w:r>
      <w:r w:rsidR="00873D4E" w:rsidRPr="008132C7">
        <w:rPr>
          <w:rFonts w:ascii="Palatino Linotype" w:hAnsi="Palatino Linotype" w:cs="Arial"/>
          <w:sz w:val="20"/>
          <w:szCs w:val="20"/>
        </w:rPr>
        <w:t xml:space="preserve">Broad Field degree. </w:t>
      </w:r>
      <w:r w:rsidR="008132C7" w:rsidRPr="008132C7">
        <w:rPr>
          <w:rFonts w:ascii="Palatino Linotype" w:hAnsi="Palatino Linotype" w:cs="Arial"/>
          <w:sz w:val="20"/>
          <w:szCs w:val="20"/>
        </w:rPr>
        <w:t xml:space="preserve"> </w:t>
      </w:r>
      <w:r w:rsidR="00873D4E" w:rsidRPr="008132C7">
        <w:rPr>
          <w:rFonts w:ascii="Palatino Linotype" w:hAnsi="Palatino Linotype" w:cs="Arial"/>
          <w:sz w:val="20"/>
          <w:szCs w:val="20"/>
        </w:rPr>
        <w:t xml:space="preserve">Students who want to </w:t>
      </w:r>
      <w:r w:rsidR="004F328E" w:rsidRPr="008132C7">
        <w:rPr>
          <w:rFonts w:ascii="Palatino Linotype" w:hAnsi="Palatino Linotype" w:cs="Arial"/>
          <w:sz w:val="20"/>
          <w:szCs w:val="20"/>
        </w:rPr>
        <w:t xml:space="preserve">meet </w:t>
      </w:r>
      <w:r w:rsidR="007A0E2C" w:rsidRPr="008132C7">
        <w:rPr>
          <w:rFonts w:ascii="Palatino Linotype" w:hAnsi="Palatino Linotype" w:cs="Arial"/>
          <w:sz w:val="20"/>
          <w:szCs w:val="20"/>
        </w:rPr>
        <w:t xml:space="preserve">more than six </w:t>
      </w:r>
      <w:r w:rsidR="00873D4E" w:rsidRPr="008132C7">
        <w:rPr>
          <w:rFonts w:ascii="Palatino Linotype" w:hAnsi="Palatino Linotype" w:cs="Arial"/>
          <w:sz w:val="20"/>
          <w:szCs w:val="20"/>
        </w:rPr>
        <w:t xml:space="preserve">goal areas </w:t>
      </w:r>
      <w:r w:rsidR="008132C7" w:rsidRPr="008132C7">
        <w:rPr>
          <w:rFonts w:ascii="Palatino Linotype" w:hAnsi="Palatino Linotype" w:cs="Arial"/>
          <w:sz w:val="20"/>
          <w:szCs w:val="20"/>
        </w:rPr>
        <w:t xml:space="preserve">should consult with an advisor or transfer specialist regarding </w:t>
      </w:r>
      <w:r w:rsidR="00674EAD" w:rsidRPr="008132C7">
        <w:rPr>
          <w:rFonts w:ascii="Palatino Linotype" w:hAnsi="Palatino Linotype" w:cs="Arial"/>
          <w:sz w:val="20"/>
          <w:szCs w:val="20"/>
        </w:rPr>
        <w:t>goal area requirements</w:t>
      </w:r>
      <w:r w:rsidR="008132C7" w:rsidRPr="008132C7">
        <w:rPr>
          <w:rFonts w:ascii="Palatino Linotype" w:hAnsi="Palatino Linotype" w:cs="Arial"/>
          <w:sz w:val="20"/>
          <w:szCs w:val="20"/>
        </w:rPr>
        <w:t xml:space="preserve"> that fit best with the selected engineering program</w:t>
      </w:r>
      <w:r w:rsidR="00674EAD" w:rsidRPr="008132C7">
        <w:rPr>
          <w:rFonts w:ascii="Palatino Linotype" w:hAnsi="Palatino Linotype" w:cs="Arial"/>
          <w:sz w:val="20"/>
          <w:szCs w:val="20"/>
        </w:rPr>
        <w:t xml:space="preserve">.  </w:t>
      </w:r>
    </w:p>
    <w:tbl>
      <w:tblPr>
        <w:tblpPr w:leftFromText="180" w:rightFromText="180" w:vertAnchor="page" w:horzAnchor="margin" w:tblpX="126" w:tblpY="1831"/>
        <w:tblW w:w="9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990"/>
        <w:gridCol w:w="900"/>
        <w:gridCol w:w="810"/>
        <w:gridCol w:w="630"/>
        <w:gridCol w:w="720"/>
        <w:gridCol w:w="1080"/>
        <w:gridCol w:w="1890"/>
        <w:gridCol w:w="360"/>
        <w:gridCol w:w="883"/>
      </w:tblGrid>
      <w:tr w:rsidR="00A30990" w:rsidRPr="002B1D98" w:rsidTr="00900D08">
        <w:trPr>
          <w:trHeight w:val="428"/>
        </w:trPr>
        <w:tc>
          <w:tcPr>
            <w:tcW w:w="9091" w:type="dxa"/>
            <w:gridSpan w:val="10"/>
            <w:tcBorders>
              <w:top w:val="single" w:sz="8" w:space="0" w:color="000000"/>
              <w:left w:val="single" w:sz="8" w:space="0" w:color="auto"/>
              <w:bottom w:val="single" w:sz="8" w:space="0" w:color="auto"/>
              <w:right w:val="single" w:sz="8" w:space="0" w:color="auto"/>
            </w:tcBorders>
            <w:shd w:val="clear" w:color="auto" w:fill="D9D9D9" w:themeFill="background1" w:themeFillShade="D9"/>
          </w:tcPr>
          <w:p w:rsidR="00FE5391" w:rsidRPr="00507924" w:rsidRDefault="00A30990" w:rsidP="00FE5391">
            <w:pPr>
              <w:spacing w:before="120" w:after="0" w:line="240" w:lineRule="auto"/>
              <w:jc w:val="center"/>
              <w:rPr>
                <w:rFonts w:ascii="Palatino Linotype" w:hAnsi="Palatino Linotype" w:cs="Arial"/>
                <w:b/>
                <w:sz w:val="20"/>
                <w:szCs w:val="20"/>
              </w:rPr>
            </w:pPr>
            <w:r w:rsidRPr="00507924">
              <w:rPr>
                <w:rFonts w:ascii="Palatino Linotype" w:hAnsi="Palatino Linotype" w:cs="Tahoma"/>
                <w:b/>
                <w:sz w:val="20"/>
                <w:szCs w:val="20"/>
              </w:rPr>
              <w:lastRenderedPageBreak/>
              <w:t xml:space="preserve">Table 1:  </w:t>
            </w:r>
            <w:r w:rsidR="00040D8E" w:rsidRPr="00507924">
              <w:rPr>
                <w:rFonts w:ascii="Palatino Linotype" w:hAnsi="Palatino Linotype" w:cs="Tahoma"/>
                <w:b/>
                <w:sz w:val="20"/>
                <w:szCs w:val="20"/>
              </w:rPr>
              <w:t>Engineering</w:t>
            </w:r>
            <w:r w:rsidRPr="00507924">
              <w:rPr>
                <w:rFonts w:ascii="Palatino Linotype" w:hAnsi="Palatino Linotype" w:cs="Tahoma"/>
                <w:b/>
                <w:sz w:val="20"/>
                <w:szCs w:val="20"/>
              </w:rPr>
              <w:t xml:space="preserve"> Broad Field </w:t>
            </w:r>
            <w:r w:rsidR="00507924">
              <w:rPr>
                <w:rFonts w:ascii="Palatino Linotype" w:hAnsi="Palatino Linotype" w:cs="Tahoma"/>
                <w:b/>
                <w:sz w:val="20"/>
                <w:szCs w:val="20"/>
              </w:rPr>
              <w:t>Course</w:t>
            </w:r>
            <w:r w:rsidRPr="00507924">
              <w:rPr>
                <w:rFonts w:ascii="Palatino Linotype" w:hAnsi="Palatino Linotype" w:cs="Tahoma"/>
                <w:b/>
                <w:sz w:val="20"/>
                <w:szCs w:val="20"/>
              </w:rPr>
              <w:t xml:space="preserve"> Requirements</w:t>
            </w:r>
            <w:r w:rsidR="00FE5391">
              <w:rPr>
                <w:rFonts w:ascii="Palatino Linotype" w:hAnsi="Palatino Linotype" w:cs="Tahoma"/>
                <w:b/>
                <w:sz w:val="20"/>
                <w:szCs w:val="20"/>
              </w:rPr>
              <w:t xml:space="preserve"> </w:t>
            </w:r>
          </w:p>
        </w:tc>
      </w:tr>
      <w:tr w:rsidR="00C83576" w:rsidRPr="002B1D98" w:rsidTr="00C83576">
        <w:trPr>
          <w:trHeight w:val="428"/>
        </w:trPr>
        <w:tc>
          <w:tcPr>
            <w:tcW w:w="7848" w:type="dxa"/>
            <w:gridSpan w:val="8"/>
            <w:tcBorders>
              <w:top w:val="single" w:sz="8" w:space="0" w:color="auto"/>
              <w:left w:val="single" w:sz="8" w:space="0" w:color="auto"/>
              <w:bottom w:val="single" w:sz="6" w:space="0" w:color="000000"/>
              <w:right w:val="single" w:sz="8" w:space="0" w:color="auto"/>
            </w:tcBorders>
            <w:shd w:val="clear" w:color="auto" w:fill="D9D9D9" w:themeFill="background1" w:themeFillShade="D9"/>
            <w:vAlign w:val="center"/>
          </w:tcPr>
          <w:p w:rsidR="00C83576" w:rsidRPr="00070B5B" w:rsidRDefault="00C83576" w:rsidP="00070B5B">
            <w:pPr>
              <w:spacing w:after="0" w:line="240" w:lineRule="auto"/>
              <w:jc w:val="center"/>
              <w:rPr>
                <w:rFonts w:ascii="Palatino Linotype" w:hAnsi="Palatino Linotype" w:cs="Arial"/>
                <w:b/>
                <w:sz w:val="20"/>
                <w:szCs w:val="20"/>
              </w:rPr>
            </w:pPr>
            <w:r w:rsidRPr="00070B5B">
              <w:rPr>
                <w:rFonts w:ascii="Palatino Linotype" w:hAnsi="Palatino Linotype" w:cs="Arial"/>
                <w:b/>
                <w:sz w:val="20"/>
                <w:szCs w:val="20"/>
              </w:rPr>
              <w:t>General Education</w:t>
            </w:r>
            <w:r>
              <w:rPr>
                <w:rFonts w:ascii="Palatino Linotype" w:hAnsi="Palatino Linotype" w:cs="Arial"/>
                <w:b/>
                <w:sz w:val="20"/>
                <w:szCs w:val="20"/>
              </w:rPr>
              <w:t>*</w:t>
            </w:r>
          </w:p>
        </w:tc>
        <w:tc>
          <w:tcPr>
            <w:tcW w:w="1243" w:type="dxa"/>
            <w:gridSpan w:val="2"/>
            <w:tcBorders>
              <w:top w:val="single" w:sz="8" w:space="0" w:color="auto"/>
              <w:left w:val="single" w:sz="8" w:space="0" w:color="auto"/>
              <w:bottom w:val="single" w:sz="6" w:space="0" w:color="000000"/>
              <w:right w:val="single" w:sz="8" w:space="0" w:color="auto"/>
            </w:tcBorders>
            <w:shd w:val="clear" w:color="auto" w:fill="D9D9D9" w:themeFill="background1" w:themeFillShade="D9"/>
            <w:vAlign w:val="center"/>
          </w:tcPr>
          <w:p w:rsidR="00C83576" w:rsidRPr="00C83576" w:rsidRDefault="00C83576" w:rsidP="00C83576">
            <w:pPr>
              <w:spacing w:after="0" w:line="240" w:lineRule="auto"/>
              <w:rPr>
                <w:rFonts w:ascii="Palatino Linotype" w:hAnsi="Palatino Linotype" w:cs="Arial"/>
                <w:sz w:val="16"/>
                <w:szCs w:val="16"/>
              </w:rPr>
            </w:pPr>
            <w:r w:rsidRPr="00C83576">
              <w:rPr>
                <w:rFonts w:ascii="Palatino Linotype" w:hAnsi="Palatino Linotype" w:cs="Arial"/>
                <w:sz w:val="16"/>
                <w:szCs w:val="16"/>
              </w:rPr>
              <w:t>Minimum</w:t>
            </w:r>
          </w:p>
          <w:p w:rsidR="00C83576" w:rsidRPr="00070B5B" w:rsidRDefault="00C83576" w:rsidP="00C83576">
            <w:pPr>
              <w:spacing w:after="0" w:line="240" w:lineRule="auto"/>
              <w:rPr>
                <w:rFonts w:ascii="Palatino Linotype" w:hAnsi="Palatino Linotype" w:cs="Arial"/>
                <w:b/>
                <w:sz w:val="20"/>
                <w:szCs w:val="20"/>
              </w:rPr>
            </w:pPr>
            <w:r w:rsidRPr="00C83576">
              <w:rPr>
                <w:rFonts w:ascii="Palatino Linotype" w:hAnsi="Palatino Linotype" w:cs="Arial"/>
                <w:sz w:val="16"/>
                <w:szCs w:val="16"/>
              </w:rPr>
              <w:t>Credits*</w:t>
            </w:r>
            <w:r>
              <w:rPr>
                <w:rFonts w:ascii="Palatino Linotype" w:hAnsi="Palatino Linotype" w:cs="Arial"/>
                <w:sz w:val="16"/>
                <w:szCs w:val="16"/>
              </w:rPr>
              <w:t>*</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English Composition</w:t>
            </w:r>
            <w:r>
              <w:rPr>
                <w:rFonts w:ascii="Palatino Linotype" w:hAnsi="Palatino Linotype" w:cs="Arial"/>
                <w:sz w:val="20"/>
                <w:szCs w:val="20"/>
              </w:rPr>
              <w:t xml:space="preserve"> </w:t>
            </w:r>
          </w:p>
        </w:tc>
        <w:tc>
          <w:tcPr>
            <w:tcW w:w="1243" w:type="dxa"/>
            <w:gridSpan w:val="2"/>
            <w:tcBorders>
              <w:top w:val="single" w:sz="6" w:space="0" w:color="000000"/>
              <w:left w:val="single" w:sz="6" w:space="0" w:color="000000"/>
              <w:bottom w:val="single" w:sz="6" w:space="0" w:color="000000"/>
              <w:right w:val="single" w:sz="8" w:space="0" w:color="auto"/>
            </w:tcBorders>
          </w:tcPr>
          <w:p w:rsidR="0082147E" w:rsidRPr="002B1D98" w:rsidRDefault="0082147E" w:rsidP="00735E06">
            <w:pPr>
              <w:spacing w:before="60" w:after="60" w:line="240" w:lineRule="auto"/>
              <w:jc w:val="center"/>
              <w:rPr>
                <w:rFonts w:ascii="Palatino Linotype" w:hAnsi="Palatino Linotype" w:cs="Arial"/>
                <w:sz w:val="20"/>
                <w:szCs w:val="20"/>
              </w:rPr>
            </w:pPr>
            <w:r w:rsidRPr="002B1D98">
              <w:rPr>
                <w:rFonts w:ascii="Palatino Linotype" w:hAnsi="Palatino Linotype" w:cs="Arial"/>
                <w:sz w:val="20"/>
                <w:szCs w:val="20"/>
              </w:rPr>
              <w:t>3</w:t>
            </w:r>
          </w:p>
        </w:tc>
      </w:tr>
      <w:tr w:rsidR="0082147E" w:rsidRPr="00702DCC"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727C2D" w:rsidRPr="00900F7B" w:rsidRDefault="00702DCC" w:rsidP="00735E06">
            <w:pPr>
              <w:spacing w:before="60" w:after="60" w:line="240" w:lineRule="auto"/>
              <w:rPr>
                <w:rFonts w:ascii="Palatino Linotype" w:hAnsi="Palatino Linotype" w:cs="Arial"/>
                <w:sz w:val="20"/>
                <w:szCs w:val="20"/>
              </w:rPr>
            </w:pPr>
            <w:r w:rsidRPr="00900F7B">
              <w:rPr>
                <w:rFonts w:ascii="Palatino Linotype" w:hAnsi="Palatino Linotype" w:cs="Arial"/>
                <w:sz w:val="20"/>
                <w:szCs w:val="20"/>
              </w:rPr>
              <w:t>Humanities, History, Behavioral or Social Sciences</w:t>
            </w:r>
            <w:r w:rsidR="007654C3" w:rsidRPr="00900F7B">
              <w:rPr>
                <w:rFonts w:ascii="Palatino Linotype" w:hAnsi="Palatino Linotype" w:cs="Arial"/>
                <w:sz w:val="20"/>
                <w:szCs w:val="20"/>
              </w:rPr>
              <w:t xml:space="preserve">. </w:t>
            </w:r>
            <w:r w:rsidR="00217A99" w:rsidRPr="00900F7B">
              <w:rPr>
                <w:rFonts w:ascii="Palatino Linotype" w:hAnsi="Palatino Linotype" w:cs="Arial"/>
                <w:sz w:val="20"/>
                <w:szCs w:val="20"/>
              </w:rPr>
              <w:t xml:space="preserve">  </w:t>
            </w:r>
            <w:r w:rsidR="007654C3" w:rsidRPr="00900F7B">
              <w:rPr>
                <w:rFonts w:ascii="Palatino Linotype" w:hAnsi="Palatino Linotype" w:cs="Arial"/>
                <w:sz w:val="20"/>
                <w:szCs w:val="20"/>
              </w:rPr>
              <w:t xml:space="preserve">Two courses that satisfy Goals </w:t>
            </w:r>
            <w:r w:rsidR="004A0C03" w:rsidRPr="00900F7B">
              <w:rPr>
                <w:rFonts w:ascii="Palatino Linotype" w:hAnsi="Palatino Linotype" w:cs="Arial"/>
                <w:sz w:val="20"/>
                <w:szCs w:val="20"/>
              </w:rPr>
              <w:t>5</w:t>
            </w:r>
            <w:r w:rsidR="007654C3" w:rsidRPr="00900F7B">
              <w:rPr>
                <w:rFonts w:ascii="Palatino Linotype" w:hAnsi="Palatino Linotype" w:cs="Arial"/>
                <w:sz w:val="20"/>
                <w:szCs w:val="20"/>
              </w:rPr>
              <w:t xml:space="preserve"> and 6. One of these courses must also satisfy at least one of goals 7, 8, </w:t>
            </w:r>
            <w:r w:rsidR="0087123A" w:rsidRPr="00900F7B">
              <w:rPr>
                <w:rFonts w:ascii="Palatino Linotype" w:hAnsi="Palatino Linotype" w:cs="Arial"/>
                <w:sz w:val="20"/>
                <w:szCs w:val="20"/>
              </w:rPr>
              <w:t>9, or 10</w:t>
            </w:r>
            <w:r w:rsidR="007654C3" w:rsidRPr="00900F7B">
              <w:rPr>
                <w:rFonts w:ascii="Palatino Linotype" w:hAnsi="Palatino Linotype" w:cs="Arial"/>
                <w:sz w:val="20"/>
                <w:szCs w:val="20"/>
              </w:rPr>
              <w:t>.</w:t>
            </w:r>
          </w:p>
        </w:tc>
        <w:tc>
          <w:tcPr>
            <w:tcW w:w="1243" w:type="dxa"/>
            <w:gridSpan w:val="2"/>
            <w:tcBorders>
              <w:top w:val="single" w:sz="6" w:space="0" w:color="000000"/>
              <w:left w:val="single" w:sz="6" w:space="0" w:color="000000"/>
              <w:bottom w:val="single" w:sz="6" w:space="0" w:color="000000"/>
              <w:right w:val="single" w:sz="8" w:space="0" w:color="auto"/>
            </w:tcBorders>
            <w:vAlign w:val="center"/>
          </w:tcPr>
          <w:p w:rsidR="0082147E" w:rsidRPr="00702DCC" w:rsidRDefault="006B6CB4" w:rsidP="00735E06">
            <w:pPr>
              <w:spacing w:before="60" w:after="60" w:line="240" w:lineRule="auto"/>
              <w:jc w:val="center"/>
              <w:rPr>
                <w:rFonts w:ascii="Palatino Linotype" w:hAnsi="Palatino Linotype" w:cs="Arial"/>
                <w:sz w:val="20"/>
                <w:szCs w:val="20"/>
              </w:rPr>
            </w:pPr>
            <w:r>
              <w:rPr>
                <w:rFonts w:ascii="Palatino Linotype" w:hAnsi="Palatino Linotype" w:cs="Arial"/>
                <w:sz w:val="20"/>
                <w:szCs w:val="20"/>
              </w:rPr>
              <w:t>6</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Calculus I</w:t>
            </w:r>
            <w:r>
              <w:rPr>
                <w:rFonts w:ascii="Palatino Linotype" w:hAnsi="Palatino Linotype" w:cs="Arial"/>
                <w:sz w:val="20"/>
                <w:szCs w:val="20"/>
              </w:rPr>
              <w:t xml:space="preserve"> </w:t>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82147E" w:rsidRPr="002B1D98" w:rsidRDefault="0082147E" w:rsidP="00735E06">
            <w:pPr>
              <w:spacing w:before="60" w:after="60" w:line="240" w:lineRule="auto"/>
              <w:jc w:val="center"/>
              <w:rPr>
                <w:rFonts w:ascii="Palatino Linotype" w:hAnsi="Palatino Linotype" w:cs="Arial"/>
                <w:sz w:val="20"/>
                <w:szCs w:val="20"/>
              </w:rPr>
            </w:pPr>
            <w:r w:rsidRPr="002B1D98">
              <w:rPr>
                <w:rFonts w:ascii="Palatino Linotype" w:hAnsi="Palatino Linotype" w:cs="Arial"/>
                <w:sz w:val="20"/>
                <w:szCs w:val="20"/>
              </w:rPr>
              <w:t>4</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Calculus II</w:t>
            </w:r>
            <w:r>
              <w:rPr>
                <w:rFonts w:ascii="Palatino Linotype" w:hAnsi="Palatino Linotype" w:cs="Arial"/>
                <w:sz w:val="20"/>
                <w:szCs w:val="20"/>
              </w:rPr>
              <w:t xml:space="preserve"> </w:t>
            </w:r>
            <w:r>
              <w:rPr>
                <w:rFonts w:ascii="Palatino Linotype" w:hAnsi="Palatino Linotype" w:cs="Arial"/>
                <w:sz w:val="20"/>
                <w:szCs w:val="20"/>
              </w:rPr>
              <w:tab/>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82147E" w:rsidRPr="002B1D98" w:rsidRDefault="0082147E" w:rsidP="00735E06">
            <w:pPr>
              <w:spacing w:before="60" w:after="60" w:line="240" w:lineRule="auto"/>
              <w:jc w:val="center"/>
              <w:rPr>
                <w:rFonts w:ascii="Palatino Linotype" w:hAnsi="Palatino Linotype" w:cs="Arial"/>
                <w:sz w:val="20"/>
                <w:szCs w:val="20"/>
              </w:rPr>
            </w:pPr>
            <w:r w:rsidRPr="002B1D98">
              <w:rPr>
                <w:rFonts w:ascii="Palatino Linotype" w:hAnsi="Palatino Linotype" w:cs="Arial"/>
                <w:sz w:val="20"/>
                <w:szCs w:val="20"/>
              </w:rPr>
              <w:t>4</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Multivariable Calculus</w:t>
            </w:r>
            <w:r w:rsidR="00195425">
              <w:rPr>
                <w:rFonts w:ascii="Palatino Linotype" w:hAnsi="Palatino Linotype" w:cs="Arial"/>
                <w:sz w:val="20"/>
                <w:szCs w:val="20"/>
              </w:rPr>
              <w:t xml:space="preserve"> </w:t>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82147E" w:rsidRPr="002B1D98" w:rsidRDefault="0082147E" w:rsidP="00735E06">
            <w:pPr>
              <w:spacing w:before="60" w:after="60" w:line="240" w:lineRule="auto"/>
              <w:jc w:val="center"/>
              <w:rPr>
                <w:rFonts w:ascii="Palatino Linotype" w:hAnsi="Palatino Linotype" w:cs="Arial"/>
                <w:sz w:val="20"/>
                <w:szCs w:val="20"/>
              </w:rPr>
            </w:pPr>
            <w:r w:rsidRPr="002B1D98">
              <w:rPr>
                <w:rFonts w:ascii="Palatino Linotype" w:hAnsi="Palatino Linotype" w:cs="Arial"/>
                <w:sz w:val="20"/>
                <w:szCs w:val="20"/>
              </w:rPr>
              <w:t>4</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Differential Equations</w:t>
            </w:r>
            <w:r>
              <w:rPr>
                <w:rFonts w:ascii="Palatino Linotype" w:hAnsi="Palatino Linotype" w:cs="Arial"/>
                <w:sz w:val="20"/>
                <w:szCs w:val="20"/>
              </w:rPr>
              <w:t xml:space="preserve"> </w:t>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82147E" w:rsidRPr="002B1D98" w:rsidRDefault="0082147E" w:rsidP="00735E06">
            <w:pPr>
              <w:spacing w:before="60" w:after="60" w:line="240" w:lineRule="auto"/>
              <w:jc w:val="center"/>
              <w:rPr>
                <w:rFonts w:ascii="Palatino Linotype" w:hAnsi="Palatino Linotype" w:cs="Arial"/>
                <w:sz w:val="20"/>
                <w:szCs w:val="20"/>
              </w:rPr>
            </w:pPr>
            <w:r>
              <w:rPr>
                <w:rFonts w:ascii="Palatino Linotype" w:hAnsi="Palatino Linotype" w:cs="Arial"/>
                <w:sz w:val="20"/>
                <w:szCs w:val="20"/>
              </w:rPr>
              <w:t>3</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Physics I (calculus-based, with lab)</w:t>
            </w:r>
            <w:r>
              <w:rPr>
                <w:rFonts w:ascii="Palatino Linotype" w:hAnsi="Palatino Linotype" w:cs="Arial"/>
                <w:sz w:val="20"/>
                <w:szCs w:val="20"/>
              </w:rPr>
              <w:t xml:space="preserve">  </w:t>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82147E" w:rsidRPr="002B1D98" w:rsidRDefault="0082147E" w:rsidP="00735E06">
            <w:pPr>
              <w:spacing w:before="60" w:after="60" w:line="240" w:lineRule="auto"/>
              <w:jc w:val="center"/>
              <w:rPr>
                <w:rFonts w:ascii="Palatino Linotype" w:hAnsi="Palatino Linotype" w:cs="Arial"/>
                <w:color w:val="FF0000"/>
                <w:sz w:val="20"/>
                <w:szCs w:val="20"/>
              </w:rPr>
            </w:pPr>
            <w:r w:rsidRPr="002B1D98">
              <w:rPr>
                <w:rFonts w:ascii="Palatino Linotype" w:hAnsi="Palatino Linotype" w:cs="Arial"/>
                <w:sz w:val="20"/>
                <w:szCs w:val="20"/>
              </w:rPr>
              <w:t>4</w:t>
            </w:r>
          </w:p>
        </w:tc>
      </w:tr>
      <w:tr w:rsidR="0082147E"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82147E" w:rsidRPr="002B1D98" w:rsidRDefault="0082147E" w:rsidP="00735E06">
            <w:pPr>
              <w:spacing w:before="60" w:after="60" w:line="240" w:lineRule="auto"/>
              <w:rPr>
                <w:rFonts w:ascii="Palatino Linotype" w:hAnsi="Palatino Linotype" w:cs="Arial"/>
                <w:sz w:val="20"/>
                <w:szCs w:val="20"/>
              </w:rPr>
            </w:pPr>
            <w:r w:rsidRPr="002B1D98">
              <w:rPr>
                <w:rFonts w:ascii="Palatino Linotype" w:hAnsi="Palatino Linotype" w:cs="Arial"/>
                <w:sz w:val="20"/>
                <w:szCs w:val="20"/>
              </w:rPr>
              <w:t>Physics II (calculus</w:t>
            </w:r>
            <w:r w:rsidRPr="002B1D98">
              <w:rPr>
                <w:rFonts w:ascii="Palatino Linotype" w:hAnsi="Palatino Linotype" w:cs="Arial"/>
                <w:color w:val="000000"/>
                <w:sz w:val="20"/>
                <w:szCs w:val="20"/>
              </w:rPr>
              <w:t>-</w:t>
            </w:r>
            <w:r w:rsidRPr="002B1D98">
              <w:rPr>
                <w:rFonts w:ascii="Palatino Linotype" w:hAnsi="Palatino Linotype" w:cs="Arial"/>
                <w:sz w:val="20"/>
                <w:szCs w:val="20"/>
              </w:rPr>
              <w:t>based, with lab)</w:t>
            </w:r>
            <w:r>
              <w:rPr>
                <w:rFonts w:ascii="Palatino Linotype" w:hAnsi="Palatino Linotype" w:cs="Arial"/>
                <w:sz w:val="20"/>
                <w:szCs w:val="20"/>
              </w:rPr>
              <w:t xml:space="preserve"> </w:t>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82147E" w:rsidRPr="002B1D98" w:rsidRDefault="0082147E" w:rsidP="00735E06">
            <w:pPr>
              <w:spacing w:before="60" w:after="60" w:line="240" w:lineRule="auto"/>
              <w:jc w:val="center"/>
              <w:rPr>
                <w:rFonts w:ascii="Palatino Linotype" w:hAnsi="Palatino Linotype" w:cs="Arial"/>
                <w:sz w:val="20"/>
                <w:szCs w:val="20"/>
              </w:rPr>
            </w:pPr>
            <w:r w:rsidRPr="002B1D98">
              <w:rPr>
                <w:rFonts w:ascii="Palatino Linotype" w:hAnsi="Palatino Linotype" w:cs="Arial"/>
                <w:sz w:val="20"/>
                <w:szCs w:val="20"/>
              </w:rPr>
              <w:t>4</w:t>
            </w:r>
          </w:p>
        </w:tc>
      </w:tr>
      <w:tr w:rsidR="00195425" w:rsidRPr="002B1D98" w:rsidTr="00C83576">
        <w:trPr>
          <w:trHeight w:val="18"/>
        </w:trPr>
        <w:tc>
          <w:tcPr>
            <w:tcW w:w="7848" w:type="dxa"/>
            <w:gridSpan w:val="8"/>
            <w:tcBorders>
              <w:top w:val="single" w:sz="6" w:space="0" w:color="000000"/>
              <w:left w:val="single" w:sz="8" w:space="0" w:color="auto"/>
              <w:bottom w:val="single" w:sz="6" w:space="0" w:color="000000"/>
              <w:right w:val="single" w:sz="6" w:space="0" w:color="000000"/>
            </w:tcBorders>
          </w:tcPr>
          <w:p w:rsidR="00195425" w:rsidRPr="002B1D98" w:rsidRDefault="000771A6" w:rsidP="00735E06">
            <w:pPr>
              <w:spacing w:before="60" w:after="60" w:line="240" w:lineRule="auto"/>
              <w:rPr>
                <w:rFonts w:ascii="Palatino Linotype" w:hAnsi="Palatino Linotype" w:cs="Arial"/>
                <w:sz w:val="20"/>
                <w:szCs w:val="20"/>
              </w:rPr>
            </w:pPr>
            <w:r>
              <w:rPr>
                <w:rFonts w:ascii="Palatino Linotype" w:hAnsi="Palatino Linotype" w:cs="Arial"/>
                <w:sz w:val="20"/>
                <w:szCs w:val="20"/>
              </w:rPr>
              <w:t>Chemistry I (Computer Engineering students substitute MnTC course as advised)</w:t>
            </w:r>
          </w:p>
        </w:tc>
        <w:tc>
          <w:tcPr>
            <w:tcW w:w="1243" w:type="dxa"/>
            <w:gridSpan w:val="2"/>
            <w:tcBorders>
              <w:top w:val="single" w:sz="6" w:space="0" w:color="000000"/>
              <w:left w:val="single" w:sz="6" w:space="0" w:color="000000"/>
              <w:bottom w:val="single" w:sz="6" w:space="0" w:color="000000"/>
              <w:right w:val="single" w:sz="8" w:space="0" w:color="auto"/>
            </w:tcBorders>
            <w:shd w:val="clear" w:color="auto" w:fill="auto"/>
          </w:tcPr>
          <w:p w:rsidR="00195425" w:rsidRPr="002B1D98" w:rsidRDefault="000771A6" w:rsidP="00735E06">
            <w:pPr>
              <w:spacing w:before="60" w:after="60" w:line="240" w:lineRule="auto"/>
              <w:jc w:val="center"/>
              <w:rPr>
                <w:rFonts w:ascii="Palatino Linotype" w:hAnsi="Palatino Linotype" w:cs="Arial"/>
                <w:sz w:val="20"/>
                <w:szCs w:val="20"/>
              </w:rPr>
            </w:pPr>
            <w:r>
              <w:rPr>
                <w:rFonts w:ascii="Palatino Linotype" w:hAnsi="Palatino Linotype" w:cs="Arial"/>
                <w:sz w:val="20"/>
                <w:szCs w:val="20"/>
              </w:rPr>
              <w:t>4</w:t>
            </w:r>
          </w:p>
        </w:tc>
      </w:tr>
      <w:tr w:rsidR="002E25DF" w:rsidRPr="002B1D98" w:rsidTr="00C83576">
        <w:trPr>
          <w:trHeight w:val="313"/>
        </w:trPr>
        <w:tc>
          <w:tcPr>
            <w:tcW w:w="7848" w:type="dxa"/>
            <w:gridSpan w:val="8"/>
            <w:tcBorders>
              <w:top w:val="single" w:sz="6" w:space="0" w:color="000000"/>
              <w:left w:val="single" w:sz="8" w:space="0" w:color="auto"/>
              <w:bottom w:val="single" w:sz="8" w:space="0" w:color="auto"/>
              <w:right w:val="single" w:sz="6" w:space="0" w:color="000000"/>
            </w:tcBorders>
            <w:vAlign w:val="center"/>
          </w:tcPr>
          <w:p w:rsidR="00C83576" w:rsidRDefault="00C83576" w:rsidP="00C83576">
            <w:pPr>
              <w:spacing w:after="0" w:line="240" w:lineRule="auto"/>
              <w:rPr>
                <w:rFonts w:ascii="Palatino Linotype" w:hAnsi="Palatino Linotype" w:cs="Arial"/>
                <w:sz w:val="18"/>
                <w:szCs w:val="18"/>
              </w:rPr>
            </w:pPr>
            <w:r>
              <w:rPr>
                <w:rFonts w:ascii="Palatino Linotype" w:hAnsi="Palatino Linotype" w:cs="Arial"/>
                <w:sz w:val="18"/>
                <w:szCs w:val="18"/>
              </w:rPr>
              <w:t>*</w:t>
            </w:r>
            <w:r w:rsidRPr="00C83576">
              <w:rPr>
                <w:rFonts w:ascii="Palatino Linotype" w:hAnsi="Palatino Linotype" w:cs="Arial"/>
                <w:sz w:val="18"/>
                <w:szCs w:val="18"/>
              </w:rPr>
              <w:t xml:space="preserve"> MnTC Goal Area is determined by the sending college.</w:t>
            </w:r>
          </w:p>
          <w:p w:rsidR="00E1364A" w:rsidRPr="002B1D98" w:rsidRDefault="00C83576" w:rsidP="00C83576">
            <w:pPr>
              <w:spacing w:after="0"/>
              <w:jc w:val="right"/>
              <w:rPr>
                <w:rFonts w:ascii="Palatino Linotype" w:hAnsi="Palatino Linotype" w:cs="Arial"/>
                <w:sz w:val="20"/>
                <w:szCs w:val="20"/>
              </w:rPr>
            </w:pPr>
            <w:r>
              <w:rPr>
                <w:rFonts w:ascii="Palatino Linotype" w:hAnsi="Palatino Linotype" w:cs="Arial"/>
                <w:sz w:val="18"/>
                <w:szCs w:val="18"/>
              </w:rPr>
              <w:t>*</w:t>
            </w:r>
            <w:r w:rsidR="004362CC" w:rsidRPr="004362CC">
              <w:rPr>
                <w:rFonts w:ascii="Palatino Linotype" w:hAnsi="Palatino Linotype" w:cs="Arial"/>
                <w:sz w:val="18"/>
                <w:szCs w:val="18"/>
              </w:rPr>
              <w:t>*</w:t>
            </w:r>
            <w:r w:rsidR="004362CC">
              <w:rPr>
                <w:rFonts w:ascii="Palatino Linotype" w:hAnsi="Palatino Linotype" w:cs="Arial"/>
                <w:sz w:val="18"/>
                <w:szCs w:val="18"/>
              </w:rPr>
              <w:t>Course c</w:t>
            </w:r>
            <w:r w:rsidR="004362CC" w:rsidRPr="004362CC">
              <w:rPr>
                <w:rFonts w:ascii="Palatino Linotype" w:hAnsi="Palatino Linotype" w:cs="Arial"/>
                <w:sz w:val="18"/>
                <w:szCs w:val="18"/>
              </w:rPr>
              <w:t>redits may vary by college</w:t>
            </w:r>
            <w:r w:rsidR="004362CC">
              <w:rPr>
                <w:rFonts w:ascii="Palatino Linotype" w:hAnsi="Palatino Linotype" w:cs="Arial"/>
                <w:sz w:val="18"/>
                <w:szCs w:val="18"/>
              </w:rPr>
              <w:t xml:space="preserve">                                                   </w:t>
            </w:r>
            <w:r w:rsidR="004362CC">
              <w:rPr>
                <w:rFonts w:ascii="Palatino Linotype" w:hAnsi="Palatino Linotype" w:cs="Arial"/>
                <w:sz w:val="20"/>
                <w:szCs w:val="20"/>
              </w:rPr>
              <w:t xml:space="preserve"> </w:t>
            </w:r>
            <w:r w:rsidR="00A2089F">
              <w:rPr>
                <w:rFonts w:ascii="Palatino Linotype" w:hAnsi="Palatino Linotype" w:cs="Arial"/>
                <w:sz w:val="20"/>
                <w:szCs w:val="20"/>
              </w:rPr>
              <w:t xml:space="preserve">Minimum </w:t>
            </w:r>
            <w:r w:rsidR="002E25DF">
              <w:rPr>
                <w:rFonts w:ascii="Palatino Linotype" w:hAnsi="Palatino Linotype" w:cs="Arial"/>
                <w:sz w:val="20"/>
                <w:szCs w:val="20"/>
              </w:rPr>
              <w:t>MnTC</w:t>
            </w:r>
            <w:r w:rsidR="000166FA">
              <w:rPr>
                <w:rFonts w:ascii="Palatino Linotype" w:hAnsi="Palatino Linotype" w:cs="Arial"/>
                <w:sz w:val="20"/>
                <w:szCs w:val="20"/>
              </w:rPr>
              <w:t xml:space="preserve"> </w:t>
            </w:r>
            <w:r w:rsidR="002E25DF">
              <w:rPr>
                <w:rFonts w:ascii="Palatino Linotype" w:hAnsi="Palatino Linotype" w:cs="Arial"/>
                <w:sz w:val="20"/>
                <w:szCs w:val="20"/>
              </w:rPr>
              <w:t>Subtotal</w:t>
            </w:r>
          </w:p>
        </w:tc>
        <w:tc>
          <w:tcPr>
            <w:tcW w:w="1243" w:type="dxa"/>
            <w:gridSpan w:val="2"/>
            <w:tcBorders>
              <w:top w:val="single" w:sz="6" w:space="0" w:color="000000"/>
              <w:left w:val="single" w:sz="6" w:space="0" w:color="000000"/>
              <w:bottom w:val="single" w:sz="8" w:space="0" w:color="auto"/>
              <w:right w:val="single" w:sz="8" w:space="0" w:color="auto"/>
            </w:tcBorders>
          </w:tcPr>
          <w:p w:rsidR="0082147E" w:rsidRPr="0082147E" w:rsidRDefault="004A19A4" w:rsidP="000771A6">
            <w:pPr>
              <w:spacing w:after="0"/>
              <w:jc w:val="center"/>
              <w:rPr>
                <w:rFonts w:ascii="Palatino Linotype" w:hAnsi="Palatino Linotype" w:cs="Arial"/>
                <w:sz w:val="16"/>
                <w:szCs w:val="16"/>
              </w:rPr>
            </w:pPr>
            <w:r>
              <w:rPr>
                <w:rFonts w:ascii="Palatino Linotype" w:hAnsi="Palatino Linotype" w:cs="Arial"/>
                <w:sz w:val="20"/>
                <w:szCs w:val="20"/>
              </w:rPr>
              <w:t>3</w:t>
            </w:r>
            <w:r w:rsidR="000771A6">
              <w:rPr>
                <w:rFonts w:ascii="Palatino Linotype" w:hAnsi="Palatino Linotype" w:cs="Arial"/>
                <w:sz w:val="20"/>
                <w:szCs w:val="20"/>
              </w:rPr>
              <w:t>6</w:t>
            </w:r>
            <w:r w:rsidR="0082147E">
              <w:rPr>
                <w:rFonts w:ascii="Palatino Linotype" w:hAnsi="Palatino Linotype" w:cs="Arial"/>
                <w:sz w:val="20"/>
                <w:szCs w:val="20"/>
              </w:rPr>
              <w:t xml:space="preserve"> </w:t>
            </w:r>
          </w:p>
        </w:tc>
      </w:tr>
      <w:tr w:rsidR="00983DE1" w:rsidRPr="00983DE1" w:rsidTr="009759A8">
        <w:trPr>
          <w:cantSplit/>
        </w:trPr>
        <w:tc>
          <w:tcPr>
            <w:tcW w:w="9091" w:type="dxa"/>
            <w:gridSpan w:val="10"/>
            <w:tcBorders>
              <w:top w:val="single" w:sz="8" w:space="0" w:color="auto"/>
              <w:left w:val="single" w:sz="8" w:space="0" w:color="auto"/>
              <w:bottom w:val="single" w:sz="6" w:space="0" w:color="000000"/>
              <w:right w:val="single" w:sz="8" w:space="0" w:color="auto"/>
            </w:tcBorders>
            <w:shd w:val="clear" w:color="auto" w:fill="D9D9D9" w:themeFill="background1" w:themeFillShade="D9"/>
            <w:vAlign w:val="center"/>
          </w:tcPr>
          <w:p w:rsidR="00A44C2E" w:rsidRDefault="00A44C2E" w:rsidP="009759A8">
            <w:pPr>
              <w:spacing w:after="0" w:line="240" w:lineRule="auto"/>
              <w:rPr>
                <w:rFonts w:ascii="Palatino Linotype" w:hAnsi="Palatino Linotype" w:cs="Arial"/>
                <w:b/>
                <w:sz w:val="20"/>
                <w:szCs w:val="20"/>
              </w:rPr>
            </w:pPr>
          </w:p>
          <w:p w:rsidR="00983DE1" w:rsidRDefault="00983DE1" w:rsidP="009759A8">
            <w:pPr>
              <w:spacing w:after="0" w:line="240" w:lineRule="auto"/>
              <w:rPr>
                <w:rFonts w:ascii="Palatino Linotype" w:hAnsi="Palatino Linotype" w:cs="Arial"/>
                <w:b/>
                <w:sz w:val="20"/>
                <w:szCs w:val="20"/>
              </w:rPr>
            </w:pPr>
            <w:r w:rsidRPr="00070B5B">
              <w:rPr>
                <w:rFonts w:ascii="Palatino Linotype" w:hAnsi="Palatino Linotype" w:cs="Arial"/>
                <w:b/>
                <w:sz w:val="20"/>
                <w:szCs w:val="20"/>
              </w:rPr>
              <w:t>Engineering Specialties</w:t>
            </w:r>
            <w:r w:rsidR="00A44C2E">
              <w:rPr>
                <w:rFonts w:ascii="Palatino Linotype" w:hAnsi="Palatino Linotype" w:cs="Arial"/>
                <w:b/>
                <w:sz w:val="20"/>
                <w:szCs w:val="20"/>
              </w:rPr>
              <w:t xml:space="preserve">: </w:t>
            </w:r>
            <w:r w:rsidR="009759A8">
              <w:rPr>
                <w:rFonts w:ascii="Palatino Linotype" w:hAnsi="Palatino Linotype" w:cs="Arial"/>
                <w:b/>
                <w:sz w:val="20"/>
                <w:szCs w:val="20"/>
              </w:rPr>
              <w:t xml:space="preserve">  Programs must offer all required courses for a</w:t>
            </w:r>
            <w:r w:rsidR="00A44C2E">
              <w:rPr>
                <w:rFonts w:ascii="Palatino Linotype" w:hAnsi="Palatino Linotype" w:cs="Arial"/>
                <w:b/>
                <w:sz w:val="20"/>
                <w:szCs w:val="20"/>
              </w:rPr>
              <w:t xml:space="preserve">t least </w:t>
            </w:r>
            <w:r w:rsidR="009759A8">
              <w:rPr>
                <w:rFonts w:ascii="Palatino Linotype" w:hAnsi="Palatino Linotype" w:cs="Arial"/>
                <w:b/>
                <w:sz w:val="20"/>
                <w:szCs w:val="20"/>
              </w:rPr>
              <w:t>three of the se</w:t>
            </w:r>
            <w:r w:rsidR="00A44C2E">
              <w:rPr>
                <w:rFonts w:ascii="Palatino Linotype" w:hAnsi="Palatino Linotype" w:cs="Arial"/>
                <w:b/>
                <w:sz w:val="20"/>
                <w:szCs w:val="20"/>
              </w:rPr>
              <w:t xml:space="preserve">ven </w:t>
            </w:r>
            <w:r w:rsidR="009759A8">
              <w:rPr>
                <w:rFonts w:ascii="Palatino Linotype" w:hAnsi="Palatino Linotype" w:cs="Arial"/>
                <w:b/>
                <w:sz w:val="20"/>
                <w:szCs w:val="20"/>
              </w:rPr>
              <w:t xml:space="preserve">engineering specialties.  </w:t>
            </w:r>
          </w:p>
          <w:p w:rsidR="00A44C2E" w:rsidRPr="00070B5B" w:rsidRDefault="00A44C2E" w:rsidP="009759A8">
            <w:pPr>
              <w:spacing w:after="0" w:line="240" w:lineRule="auto"/>
              <w:rPr>
                <w:rFonts w:ascii="Palatino Linotype" w:hAnsi="Palatino Linotype" w:cs="Arial"/>
                <w:b/>
                <w:sz w:val="20"/>
                <w:szCs w:val="20"/>
              </w:rPr>
            </w:pPr>
          </w:p>
        </w:tc>
      </w:tr>
      <w:tr w:rsidR="006E571A" w:rsidRPr="002B1D98" w:rsidTr="00900D08">
        <w:trPr>
          <w:cantSplit/>
        </w:trPr>
        <w:tc>
          <w:tcPr>
            <w:tcW w:w="9091" w:type="dxa"/>
            <w:gridSpan w:val="10"/>
            <w:tcBorders>
              <w:top w:val="single" w:sz="6" w:space="0" w:color="000000"/>
              <w:left w:val="single" w:sz="8" w:space="0" w:color="auto"/>
              <w:bottom w:val="nil"/>
              <w:right w:val="single" w:sz="8" w:space="0" w:color="auto"/>
            </w:tcBorders>
            <w:shd w:val="clear" w:color="auto" w:fill="FFFFFF" w:themeFill="background1"/>
          </w:tcPr>
          <w:p w:rsidR="006E571A" w:rsidRPr="00337468" w:rsidRDefault="006E571A" w:rsidP="00337468">
            <w:pPr>
              <w:spacing w:after="0" w:line="240" w:lineRule="auto"/>
              <w:rPr>
                <w:rFonts w:ascii="Palatino Linotype" w:hAnsi="Palatino Linotype" w:cs="Arial"/>
                <w:sz w:val="18"/>
                <w:szCs w:val="18"/>
              </w:rPr>
            </w:pPr>
            <w:r w:rsidRPr="00337468">
              <w:rPr>
                <w:rFonts w:ascii="Palatino Linotype" w:hAnsi="Palatino Linotype" w:cs="Arial"/>
                <w:sz w:val="18"/>
                <w:szCs w:val="18"/>
              </w:rPr>
              <w:t xml:space="preserve">Select a </w:t>
            </w:r>
            <w:r w:rsidRPr="00337468">
              <w:rPr>
                <w:rFonts w:ascii="Palatino Linotype" w:hAnsi="Palatino Linotype" w:cs="Arial"/>
                <w:sz w:val="18"/>
                <w:szCs w:val="18"/>
                <w:u w:val="single"/>
              </w:rPr>
              <w:t>minimum</w:t>
            </w:r>
            <w:r w:rsidRPr="00337468">
              <w:rPr>
                <w:rFonts w:ascii="Palatino Linotype" w:hAnsi="Palatino Linotype" w:cs="Arial"/>
                <w:sz w:val="18"/>
                <w:szCs w:val="18"/>
              </w:rPr>
              <w:t xml:space="preserve"> of 4 courses </w:t>
            </w:r>
            <w:r w:rsidR="00777E25" w:rsidRPr="00337468">
              <w:rPr>
                <w:rFonts w:ascii="Palatino Linotype" w:hAnsi="Palatino Linotype" w:cs="Arial"/>
                <w:sz w:val="18"/>
                <w:szCs w:val="18"/>
              </w:rPr>
              <w:t xml:space="preserve">and </w:t>
            </w:r>
            <w:r w:rsidRPr="00337468">
              <w:rPr>
                <w:rFonts w:ascii="Palatino Linotype" w:hAnsi="Palatino Linotype" w:cs="Arial"/>
                <w:sz w:val="18"/>
                <w:szCs w:val="18"/>
              </w:rPr>
              <w:t xml:space="preserve">12 credits from </w:t>
            </w:r>
            <w:r w:rsidR="00337468" w:rsidRPr="00337468">
              <w:rPr>
                <w:rFonts w:ascii="Palatino Linotype" w:hAnsi="Palatino Linotype" w:cs="Arial"/>
                <w:sz w:val="18"/>
                <w:szCs w:val="18"/>
              </w:rPr>
              <w:t xml:space="preserve">a single </w:t>
            </w:r>
            <w:r w:rsidRPr="00337468">
              <w:rPr>
                <w:rFonts w:ascii="Palatino Linotype" w:hAnsi="Palatino Linotype" w:cs="Arial"/>
                <w:sz w:val="18"/>
                <w:szCs w:val="18"/>
              </w:rPr>
              <w:t>engineering specialty</w:t>
            </w:r>
            <w:r w:rsidR="00337468" w:rsidRPr="00337468">
              <w:rPr>
                <w:rFonts w:ascii="Palatino Linotype" w:hAnsi="Palatino Linotype" w:cs="Arial"/>
                <w:sz w:val="18"/>
                <w:szCs w:val="18"/>
              </w:rPr>
              <w:t xml:space="preserve"> (e.g. civil, computer, general, mechanical, etc.)</w:t>
            </w:r>
            <w:r w:rsidRPr="00337468">
              <w:rPr>
                <w:rFonts w:ascii="Palatino Linotype" w:hAnsi="Palatino Linotype" w:cs="Arial"/>
                <w:sz w:val="18"/>
                <w:szCs w:val="18"/>
              </w:rPr>
              <w:t>.</w:t>
            </w:r>
          </w:p>
        </w:tc>
      </w:tr>
      <w:tr w:rsidR="0073059B" w:rsidRPr="002B1D98" w:rsidTr="0073059B">
        <w:trPr>
          <w:cantSplit/>
          <w:trHeight w:val="469"/>
        </w:trPr>
        <w:tc>
          <w:tcPr>
            <w:tcW w:w="9091" w:type="dxa"/>
            <w:gridSpan w:val="10"/>
            <w:tcBorders>
              <w:top w:val="nil"/>
              <w:left w:val="single" w:sz="8" w:space="0" w:color="auto"/>
              <w:bottom w:val="single" w:sz="6" w:space="0" w:color="000000"/>
              <w:right w:val="single" w:sz="8" w:space="0" w:color="auto"/>
            </w:tcBorders>
            <w:shd w:val="clear" w:color="auto" w:fill="FFFFFF" w:themeFill="background1"/>
          </w:tcPr>
          <w:p w:rsidR="0073059B" w:rsidRPr="0073059B" w:rsidRDefault="0073059B" w:rsidP="0073059B">
            <w:pPr>
              <w:spacing w:after="0" w:line="240" w:lineRule="auto"/>
              <w:rPr>
                <w:rFonts w:ascii="Palatino Linotype" w:hAnsi="Palatino Linotype" w:cs="Arial"/>
                <w:sz w:val="18"/>
                <w:szCs w:val="18"/>
              </w:rPr>
            </w:pPr>
            <w:r w:rsidRPr="0073059B">
              <w:rPr>
                <w:rFonts w:ascii="Palatino Linotype" w:hAnsi="Palatino Linotype" w:cs="Arial"/>
                <w:sz w:val="18"/>
                <w:szCs w:val="18"/>
              </w:rPr>
              <w:t>Key</w:t>
            </w:r>
            <w:r>
              <w:rPr>
                <w:rFonts w:ascii="Palatino Linotype" w:hAnsi="Palatino Linotype" w:cs="Arial"/>
                <w:sz w:val="18"/>
                <w:szCs w:val="18"/>
              </w:rPr>
              <w:t>:  “</w:t>
            </w:r>
            <w:r w:rsidRPr="0073059B">
              <w:rPr>
                <w:rFonts w:ascii="Palatino Linotype" w:hAnsi="Palatino Linotype" w:cs="Arial"/>
                <w:b/>
                <w:sz w:val="18"/>
                <w:szCs w:val="18"/>
              </w:rPr>
              <w:t>Req</w:t>
            </w:r>
            <w:r>
              <w:rPr>
                <w:rFonts w:ascii="Palatino Linotype" w:hAnsi="Palatino Linotype" w:cs="Arial"/>
                <w:sz w:val="18"/>
                <w:szCs w:val="18"/>
              </w:rPr>
              <w:t xml:space="preserve">” = required </w:t>
            </w:r>
            <w:r w:rsidRPr="0073059B">
              <w:rPr>
                <w:rFonts w:ascii="Palatino Linotype" w:hAnsi="Palatino Linotype" w:cs="Arial"/>
                <w:b/>
                <w:sz w:val="18"/>
                <w:szCs w:val="18"/>
              </w:rPr>
              <w:t>university</w:t>
            </w:r>
            <w:r>
              <w:rPr>
                <w:rFonts w:ascii="Palatino Linotype" w:hAnsi="Palatino Linotype" w:cs="Arial"/>
                <w:sz w:val="18"/>
                <w:szCs w:val="18"/>
              </w:rPr>
              <w:t xml:space="preserve"> program course;  “</w:t>
            </w:r>
            <w:r w:rsidRPr="0073059B">
              <w:rPr>
                <w:rFonts w:ascii="Palatino Linotype" w:hAnsi="Palatino Linotype" w:cs="Arial"/>
                <w:b/>
                <w:sz w:val="18"/>
                <w:szCs w:val="18"/>
              </w:rPr>
              <w:t>Adv</w:t>
            </w:r>
            <w:r>
              <w:rPr>
                <w:rFonts w:ascii="Palatino Linotype" w:hAnsi="Palatino Linotype" w:cs="Arial"/>
                <w:sz w:val="18"/>
                <w:szCs w:val="18"/>
              </w:rPr>
              <w:t>”=</w:t>
            </w:r>
            <w:r w:rsidRPr="0073059B">
              <w:rPr>
                <w:rFonts w:ascii="Palatino Linotype" w:hAnsi="Palatino Linotype" w:cs="Arial"/>
                <w:sz w:val="18"/>
                <w:szCs w:val="18"/>
              </w:rPr>
              <w:t xml:space="preserve"> see advisor/transfer specialist to confirm transfer to university program </w:t>
            </w:r>
          </w:p>
        </w:tc>
      </w:tr>
      <w:tr w:rsidR="003508F4" w:rsidRPr="002B1D98" w:rsidTr="003508F4">
        <w:trPr>
          <w:trHeight w:val="317"/>
        </w:trPr>
        <w:tc>
          <w:tcPr>
            <w:tcW w:w="828" w:type="dxa"/>
            <w:tcBorders>
              <w:top w:val="single" w:sz="6" w:space="0" w:color="000000"/>
              <w:left w:val="single" w:sz="8" w:space="0" w:color="auto"/>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 xml:space="preserve">Civil </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Comp</w:t>
            </w:r>
            <w:r w:rsidR="00F90811">
              <w:rPr>
                <w:rFonts w:ascii="Palatino Linotype" w:hAnsi="Palatino Linotype"/>
                <w:b/>
                <w:sz w:val="16"/>
                <w:szCs w:val="16"/>
              </w:rPr>
              <w:t>u</w:t>
            </w:r>
            <w:r w:rsidR="00F5027D">
              <w:rPr>
                <w:rFonts w:ascii="Palatino Linotype" w:hAnsi="Palatino Linotype"/>
                <w:b/>
                <w:sz w:val="16"/>
                <w:szCs w:val="16"/>
              </w:rPr>
              <w:t>t</w:t>
            </w:r>
            <w:r w:rsidR="00F90811">
              <w:rPr>
                <w:rFonts w:ascii="Palatino Linotype" w:hAnsi="Palatino Linotype"/>
                <w:b/>
                <w:sz w:val="16"/>
                <w:szCs w:val="16"/>
              </w:rPr>
              <w:t>er</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Elect</w:t>
            </w:r>
            <w:r w:rsidR="00F90811">
              <w:rPr>
                <w:rFonts w:ascii="Palatino Linotype" w:hAnsi="Palatino Linotype"/>
                <w:b/>
                <w:sz w:val="16"/>
                <w:szCs w:val="16"/>
              </w:rPr>
              <w:t>rical</w:t>
            </w:r>
          </w:p>
        </w:tc>
        <w:tc>
          <w:tcPr>
            <w:tcW w:w="8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General</w:t>
            </w: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Mech</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Manuf</w:t>
            </w: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423AD" w:rsidRPr="00A2089F" w:rsidRDefault="004423AD" w:rsidP="00C64633">
            <w:pPr>
              <w:spacing w:after="0" w:line="240" w:lineRule="auto"/>
              <w:jc w:val="center"/>
              <w:rPr>
                <w:rFonts w:ascii="Palatino Linotype" w:hAnsi="Palatino Linotype"/>
                <w:b/>
                <w:sz w:val="16"/>
                <w:szCs w:val="16"/>
              </w:rPr>
            </w:pPr>
            <w:r w:rsidRPr="00A2089F">
              <w:rPr>
                <w:rFonts w:ascii="Palatino Linotype" w:hAnsi="Palatino Linotype"/>
                <w:b/>
                <w:sz w:val="16"/>
                <w:szCs w:val="16"/>
              </w:rPr>
              <w:t>Composite</w:t>
            </w:r>
          </w:p>
        </w:tc>
        <w:tc>
          <w:tcPr>
            <w:tcW w:w="2250" w:type="dxa"/>
            <w:gridSpan w:val="2"/>
            <w:tcBorders>
              <w:top w:val="single" w:sz="8" w:space="0" w:color="000000"/>
              <w:left w:val="single" w:sz="6" w:space="0" w:color="000000"/>
              <w:bottom w:val="single" w:sz="6" w:space="0" w:color="000000"/>
              <w:right w:val="nil"/>
            </w:tcBorders>
            <w:shd w:val="clear" w:color="auto" w:fill="D9D9D9" w:themeFill="background1" w:themeFillShade="D9"/>
            <w:vAlign w:val="center"/>
          </w:tcPr>
          <w:p w:rsidR="004423AD" w:rsidRPr="00C700BA" w:rsidRDefault="004423AD" w:rsidP="00C700BA">
            <w:pPr>
              <w:spacing w:after="0" w:line="240" w:lineRule="auto"/>
              <w:jc w:val="center"/>
              <w:rPr>
                <w:rFonts w:ascii="Palatino Linotype" w:hAnsi="Palatino Linotype"/>
                <w:bCs/>
                <w:sz w:val="18"/>
                <w:szCs w:val="18"/>
              </w:rPr>
            </w:pPr>
          </w:p>
        </w:tc>
        <w:tc>
          <w:tcPr>
            <w:tcW w:w="883" w:type="dxa"/>
            <w:tcBorders>
              <w:top w:val="single" w:sz="6" w:space="0" w:color="000000"/>
              <w:left w:val="nil"/>
              <w:bottom w:val="single" w:sz="6" w:space="0" w:color="000000"/>
              <w:right w:val="single" w:sz="8" w:space="0" w:color="auto"/>
            </w:tcBorders>
            <w:shd w:val="clear" w:color="auto" w:fill="D9D9D9" w:themeFill="background1" w:themeFillShade="D9"/>
            <w:vAlign w:val="center"/>
          </w:tcPr>
          <w:p w:rsidR="004423AD" w:rsidRPr="003508F4" w:rsidRDefault="004423AD" w:rsidP="00C64633">
            <w:pPr>
              <w:spacing w:after="0" w:line="240" w:lineRule="auto"/>
              <w:jc w:val="center"/>
              <w:rPr>
                <w:rFonts w:ascii="Palatino Linotype" w:hAnsi="Palatino Linotype"/>
                <w:b/>
                <w:bCs/>
                <w:sz w:val="12"/>
                <w:szCs w:val="12"/>
              </w:rPr>
            </w:pPr>
            <w:r w:rsidRPr="003508F4">
              <w:rPr>
                <w:rFonts w:ascii="Palatino Linotype" w:hAnsi="Palatino Linotype"/>
                <w:b/>
                <w:bCs/>
                <w:sz w:val="12"/>
                <w:szCs w:val="12"/>
              </w:rPr>
              <w:t>Minimum Credits*</w:t>
            </w:r>
            <w:r w:rsidR="00C83576" w:rsidRPr="003508F4">
              <w:rPr>
                <w:rFonts w:ascii="Palatino Linotype" w:hAnsi="Palatino Linotype"/>
                <w:b/>
                <w:bCs/>
                <w:sz w:val="12"/>
                <w:szCs w:val="12"/>
              </w:rPr>
              <w:t>*</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auto"/>
            <w:vAlign w:val="center"/>
          </w:tcPr>
          <w:p w:rsidR="00C64633" w:rsidRPr="00A44C2E" w:rsidRDefault="0073059B"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Adv</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73059B"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Adv</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73059B"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Adv</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4362CC" w:rsidRPr="00A44C2E">
              <w:rPr>
                <w:rFonts w:ascii="Palatino Linotype" w:hAnsi="Palatino Linotype"/>
                <w:sz w:val="18"/>
                <w:szCs w:val="18"/>
              </w:rPr>
              <w:t>dv</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Intro to Engineering</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2</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D9D9D9" w:themeFill="background1" w:themeFillShade="D9"/>
            <w:vAlign w:val="center"/>
          </w:tcPr>
          <w:p w:rsidR="00C64633" w:rsidRPr="00A44C2E" w:rsidRDefault="00C64633" w:rsidP="00983DE1">
            <w:pPr>
              <w:spacing w:after="0" w:line="240" w:lineRule="auto"/>
              <w:rPr>
                <w:rFonts w:ascii="Palatino Linotype" w:hAnsi="Palatino Linotype"/>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4362CC" w:rsidRPr="00A44C2E">
              <w:rPr>
                <w:rFonts w:ascii="Palatino Linotype" w:hAnsi="Palatino Linotype"/>
                <w:sz w:val="18"/>
                <w:szCs w:val="18"/>
              </w:rPr>
              <w:t>dv</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cs="Arial"/>
                <w:sz w:val="18"/>
                <w:szCs w:val="18"/>
              </w:rPr>
              <w:t>Comp Programming</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73059B"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Adv</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Statics</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F90811">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4362CC" w:rsidRPr="00A44C2E">
              <w:rPr>
                <w:rFonts w:ascii="Palatino Linotype" w:hAnsi="Palatino Linotype"/>
                <w:sz w:val="18"/>
                <w:szCs w:val="18"/>
              </w:rPr>
              <w:t>dv</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4362CC" w:rsidRPr="00A44C2E">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Dynamics</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Deformable Body Mechanics</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p w:rsidR="003508F4" w:rsidRPr="00A44C2E" w:rsidRDefault="003508F4" w:rsidP="00391826">
            <w:pPr>
              <w:spacing w:after="0" w:line="240" w:lineRule="auto"/>
              <w:jc w:val="center"/>
              <w:rPr>
                <w:rFonts w:ascii="Palatino Linotype" w:hAnsi="Palatino Linotype"/>
                <w:sz w:val="12"/>
                <w:szCs w:val="12"/>
              </w:rPr>
            </w:pPr>
            <w:r w:rsidRPr="00A44C2E">
              <w:rPr>
                <w:rFonts w:ascii="Palatino Linotype" w:hAnsi="Palatino Linotype"/>
                <w:sz w:val="12"/>
                <w:szCs w:val="12"/>
              </w:rPr>
              <w:t>UMN</w:t>
            </w:r>
            <w:r w:rsidR="00E22EDD" w:rsidRPr="00A44C2E">
              <w:rPr>
                <w:rFonts w:ascii="Palatino Linotype" w:hAnsi="Palatino Linotype"/>
                <w:sz w:val="12"/>
                <w:szCs w:val="12"/>
              </w:rPr>
              <w:t>-Adv</w:t>
            </w: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900D08" w:rsidRPr="00A44C2E">
              <w:rPr>
                <w:rFonts w:ascii="Palatino Linotype" w:hAnsi="Palatino Linotype"/>
                <w:sz w:val="18"/>
                <w:szCs w:val="18"/>
              </w:rPr>
              <w:t>dv</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900D08" w:rsidRPr="00A44C2E">
              <w:rPr>
                <w:rFonts w:ascii="Palatino Linotype" w:hAnsi="Palatino Linotype"/>
                <w:sz w:val="18"/>
                <w:szCs w:val="18"/>
              </w:rPr>
              <w:t>dv</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900D08" w:rsidRPr="00A44C2E">
              <w:rPr>
                <w:rFonts w:ascii="Palatino Linotype" w:hAnsi="Palatino Linotype"/>
                <w:sz w:val="18"/>
                <w:szCs w:val="18"/>
              </w:rPr>
              <w:t>dv</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A</w:t>
            </w:r>
            <w:r w:rsidR="00900D08" w:rsidRPr="00A44C2E">
              <w:rPr>
                <w:rFonts w:ascii="Palatino Linotype" w:hAnsi="Palatino Linotype"/>
                <w:sz w:val="18"/>
                <w:szCs w:val="18"/>
              </w:rPr>
              <w:t>dv</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Thermodynamics</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Circuits I (with lab)</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4</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A44C2E" w:rsidRDefault="00C64633" w:rsidP="00C64633">
            <w:pPr>
              <w:spacing w:after="0" w:line="240" w:lineRule="auto"/>
              <w:jc w:val="center"/>
              <w:rPr>
                <w:rFonts w:ascii="Palatino Linotype" w:hAnsi="Palatino Linotype"/>
                <w:sz w:val="18"/>
                <w:szCs w:val="18"/>
              </w:rPr>
            </w:pPr>
            <w:r w:rsidRPr="00A44C2E">
              <w:rPr>
                <w:rFonts w:ascii="Palatino Linotype" w:hAnsi="Palatino Linotype"/>
                <w:sz w:val="18"/>
                <w:szCs w:val="18"/>
              </w:rPr>
              <w:t>R</w:t>
            </w:r>
            <w:r w:rsidR="00900D08" w:rsidRPr="00A44C2E">
              <w:rPr>
                <w:rFonts w:ascii="Palatino Linotype" w:hAnsi="Palatino Linotype"/>
                <w:sz w:val="18"/>
                <w:szCs w:val="18"/>
              </w:rPr>
              <w:t>eq</w:t>
            </w:r>
          </w:p>
        </w:tc>
        <w:tc>
          <w:tcPr>
            <w:tcW w:w="8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A44C2E" w:rsidRDefault="00C64633" w:rsidP="00C64633">
            <w:pPr>
              <w:spacing w:after="0" w:line="240" w:lineRule="auto"/>
              <w:jc w:val="center"/>
              <w:rPr>
                <w:rFonts w:ascii="Palatino Linotype" w:hAnsi="Palatino Linotype"/>
                <w:sz w:val="18"/>
                <w:szCs w:val="18"/>
              </w:rPr>
            </w:pP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A44C2E" w:rsidRDefault="00C64633" w:rsidP="00C64633">
            <w:pPr>
              <w:spacing w:after="0" w:line="240" w:lineRule="auto"/>
              <w:rPr>
                <w:rFonts w:ascii="Palatino Linotype" w:hAnsi="Palatino Linotype"/>
                <w:sz w:val="18"/>
                <w:szCs w:val="18"/>
              </w:rPr>
            </w:pPr>
            <w:r w:rsidRPr="00A44C2E">
              <w:rPr>
                <w:rFonts w:ascii="Palatino Linotype" w:hAnsi="Palatino Linotype"/>
                <w:sz w:val="18"/>
                <w:szCs w:val="18"/>
              </w:rPr>
              <w:t>Circuits II</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R</w:t>
            </w:r>
            <w:r w:rsidR="00900D08">
              <w:rPr>
                <w:rFonts w:ascii="Palatino Linotype" w:hAnsi="Palatino Linotype"/>
                <w:sz w:val="18"/>
                <w:szCs w:val="18"/>
              </w:rPr>
              <w:t>eq</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R</w:t>
            </w:r>
            <w:r w:rsidR="00900D08">
              <w:rPr>
                <w:rFonts w:ascii="Palatino Linotype" w:hAnsi="Palatino Linotype"/>
                <w:sz w:val="18"/>
                <w:szCs w:val="18"/>
              </w:rPr>
              <w:t>eq</w:t>
            </w:r>
          </w:p>
        </w:tc>
        <w:tc>
          <w:tcPr>
            <w:tcW w:w="8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C64633" w:rsidRDefault="00C64633" w:rsidP="00C64633">
            <w:pPr>
              <w:spacing w:after="0" w:line="240" w:lineRule="auto"/>
              <w:rPr>
                <w:rFonts w:ascii="Palatino Linotype" w:hAnsi="Palatino Linotype"/>
                <w:sz w:val="18"/>
                <w:szCs w:val="18"/>
              </w:rPr>
            </w:pPr>
            <w:r w:rsidRPr="00C64633">
              <w:rPr>
                <w:rFonts w:ascii="Palatino Linotype" w:hAnsi="Palatino Linotype"/>
                <w:sz w:val="18"/>
                <w:szCs w:val="18"/>
              </w:rPr>
              <w:t>Digital logic</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FFFFFF" w:themeFill="background1"/>
            <w:vAlign w:val="center"/>
          </w:tcPr>
          <w:p w:rsidR="00C64633" w:rsidRPr="003508F4" w:rsidRDefault="003508F4" w:rsidP="00C64633">
            <w:pPr>
              <w:spacing w:after="0" w:line="240" w:lineRule="auto"/>
              <w:jc w:val="center"/>
              <w:rPr>
                <w:rFonts w:ascii="Palatino Linotype" w:hAnsi="Palatino Linotype"/>
                <w:sz w:val="12"/>
                <w:szCs w:val="12"/>
              </w:rPr>
            </w:pPr>
            <w:r>
              <w:rPr>
                <w:rFonts w:ascii="Palatino Linotype" w:hAnsi="Palatino Linotype"/>
                <w:sz w:val="12"/>
                <w:szCs w:val="12"/>
              </w:rPr>
              <w:t>UMN</w:t>
            </w:r>
            <w:r w:rsidR="00E22EDD">
              <w:rPr>
                <w:rFonts w:ascii="Palatino Linotype" w:hAnsi="Palatino Linotype"/>
                <w:sz w:val="12"/>
                <w:szCs w:val="12"/>
              </w:rPr>
              <w:t>-Adv</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73059B" w:rsidP="00C64633">
            <w:pPr>
              <w:spacing w:after="0" w:line="240" w:lineRule="auto"/>
              <w:jc w:val="center"/>
              <w:rPr>
                <w:rFonts w:ascii="Palatino Linotype" w:hAnsi="Palatino Linotype"/>
                <w:sz w:val="18"/>
                <w:szCs w:val="18"/>
              </w:rPr>
            </w:pPr>
            <w:r>
              <w:rPr>
                <w:rFonts w:ascii="Palatino Linotype" w:hAnsi="Palatino Linotype"/>
                <w:sz w:val="18"/>
                <w:szCs w:val="18"/>
              </w:rPr>
              <w:t>Adv</w:t>
            </w: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rPr>
                <w:rFonts w:ascii="Palatino Linotype" w:hAnsi="Palatino Linotype"/>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73059B" w:rsidP="00C64633">
            <w:pPr>
              <w:spacing w:after="0" w:line="240" w:lineRule="auto"/>
              <w:jc w:val="center"/>
              <w:rPr>
                <w:rFonts w:ascii="Palatino Linotype" w:hAnsi="Palatino Linotype"/>
                <w:sz w:val="18"/>
                <w:szCs w:val="18"/>
              </w:rPr>
            </w:pPr>
            <w:r>
              <w:rPr>
                <w:rFonts w:ascii="Palatino Linotype" w:hAnsi="Palatino Linotype"/>
                <w:sz w:val="18"/>
                <w:szCs w:val="18"/>
              </w:rPr>
              <w:t>Adv</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73059B" w:rsidP="00C64633">
            <w:pPr>
              <w:spacing w:after="0" w:line="240" w:lineRule="auto"/>
              <w:jc w:val="center"/>
              <w:rPr>
                <w:rFonts w:ascii="Palatino Linotype" w:hAnsi="Palatino Linotype"/>
                <w:sz w:val="18"/>
                <w:szCs w:val="18"/>
              </w:rPr>
            </w:pPr>
            <w:r>
              <w:rPr>
                <w:rFonts w:ascii="Palatino Linotype" w:hAnsi="Palatino Linotype"/>
                <w:sz w:val="18"/>
                <w:szCs w:val="18"/>
              </w:rPr>
              <w:t>Adv</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73059B" w:rsidP="00C64633">
            <w:pPr>
              <w:spacing w:after="0" w:line="240" w:lineRule="auto"/>
              <w:jc w:val="center"/>
              <w:rPr>
                <w:rFonts w:ascii="Palatino Linotype" w:hAnsi="Palatino Linotype"/>
                <w:sz w:val="18"/>
                <w:szCs w:val="18"/>
              </w:rPr>
            </w:pPr>
            <w:r>
              <w:rPr>
                <w:rFonts w:ascii="Palatino Linotype" w:hAnsi="Palatino Linotype"/>
                <w:sz w:val="18"/>
                <w:szCs w:val="18"/>
              </w:rPr>
              <w:t>Adv</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C64633" w:rsidRDefault="00C64633" w:rsidP="00C64633">
            <w:pPr>
              <w:spacing w:after="0" w:line="240" w:lineRule="auto"/>
              <w:rPr>
                <w:rFonts w:ascii="Palatino Linotype" w:hAnsi="Palatino Linotype"/>
                <w:sz w:val="18"/>
                <w:szCs w:val="18"/>
              </w:rPr>
            </w:pPr>
            <w:r w:rsidRPr="00C64633">
              <w:rPr>
                <w:rFonts w:ascii="Palatino Linotype" w:hAnsi="Palatino Linotype"/>
                <w:sz w:val="18"/>
                <w:szCs w:val="18"/>
              </w:rPr>
              <w:t>Probability &amp; Statistics</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8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A</w:t>
            </w:r>
            <w:r w:rsidR="00900D08">
              <w:rPr>
                <w:rFonts w:ascii="Palatino Linotype" w:hAnsi="Palatino Linotype"/>
                <w:sz w:val="18"/>
                <w:szCs w:val="18"/>
              </w:rPr>
              <w:t>dv</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73059B" w:rsidP="00C64633">
            <w:pPr>
              <w:spacing w:after="0" w:line="240" w:lineRule="auto"/>
              <w:jc w:val="center"/>
              <w:rPr>
                <w:rFonts w:ascii="Palatino Linotype" w:hAnsi="Palatino Linotype"/>
                <w:sz w:val="18"/>
                <w:szCs w:val="18"/>
              </w:rPr>
            </w:pPr>
            <w:r>
              <w:rPr>
                <w:rFonts w:ascii="Palatino Linotype" w:hAnsi="Palatino Linotype"/>
                <w:sz w:val="18"/>
                <w:szCs w:val="18"/>
              </w:rPr>
              <w:t>Req</w:t>
            </w:r>
          </w:p>
        </w:tc>
        <w:tc>
          <w:tcPr>
            <w:tcW w:w="2250"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rsidR="00C64633" w:rsidRPr="00C64633" w:rsidRDefault="00C64633" w:rsidP="00C64633">
            <w:pPr>
              <w:spacing w:after="0" w:line="240" w:lineRule="auto"/>
              <w:rPr>
                <w:rFonts w:ascii="Palatino Linotype" w:hAnsi="Palatino Linotype"/>
                <w:sz w:val="18"/>
                <w:szCs w:val="18"/>
              </w:rPr>
            </w:pPr>
            <w:r w:rsidRPr="00C64633">
              <w:rPr>
                <w:rFonts w:ascii="Palatino Linotype" w:hAnsi="Palatino Linotype"/>
                <w:sz w:val="18"/>
                <w:szCs w:val="18"/>
              </w:rPr>
              <w:t>Chemistry II</w:t>
            </w:r>
          </w:p>
        </w:tc>
        <w:tc>
          <w:tcPr>
            <w:tcW w:w="883" w:type="dxa"/>
            <w:tcBorders>
              <w:top w:val="single" w:sz="6" w:space="0" w:color="000000"/>
              <w:left w:val="single" w:sz="6" w:space="0" w:color="000000"/>
              <w:bottom w:val="single" w:sz="6" w:space="0" w:color="000000"/>
              <w:right w:val="single" w:sz="8" w:space="0" w:color="auto"/>
            </w:tcBorders>
            <w:shd w:val="clear" w:color="auto" w:fill="FFFFFF" w:themeFill="background1"/>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3</w:t>
            </w:r>
          </w:p>
        </w:tc>
      </w:tr>
      <w:tr w:rsidR="003508F4" w:rsidRPr="002B1D98" w:rsidTr="003508F4">
        <w:trPr>
          <w:cantSplit/>
        </w:trPr>
        <w:tc>
          <w:tcPr>
            <w:tcW w:w="828" w:type="dxa"/>
            <w:tcBorders>
              <w:top w:val="single" w:sz="6" w:space="0" w:color="000000"/>
              <w:left w:val="single" w:sz="8" w:space="0" w:color="auto"/>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9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8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6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7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C64633" w:rsidRPr="00C64633" w:rsidRDefault="00C64633" w:rsidP="00C64633">
            <w:pPr>
              <w:spacing w:after="0" w:line="240" w:lineRule="auto"/>
              <w:jc w:val="center"/>
              <w:rPr>
                <w:rFonts w:ascii="Palatino Linotype" w:hAnsi="Palatino Linotype"/>
                <w:sz w:val="18"/>
                <w:szCs w:val="18"/>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64633" w:rsidRPr="00C64633" w:rsidRDefault="00C64633" w:rsidP="00C64633">
            <w:pPr>
              <w:spacing w:after="0" w:line="240" w:lineRule="auto"/>
              <w:jc w:val="center"/>
              <w:rPr>
                <w:rFonts w:ascii="Palatino Linotype" w:hAnsi="Palatino Linotype"/>
                <w:sz w:val="18"/>
                <w:szCs w:val="18"/>
              </w:rPr>
            </w:pPr>
            <w:r w:rsidRPr="00C64633">
              <w:rPr>
                <w:rFonts w:ascii="Palatino Linotype" w:hAnsi="Palatino Linotype"/>
                <w:sz w:val="18"/>
                <w:szCs w:val="18"/>
              </w:rPr>
              <w:t>R</w:t>
            </w:r>
            <w:r w:rsidR="00900D08">
              <w:rPr>
                <w:rFonts w:ascii="Palatino Linotype" w:hAnsi="Palatino Linotype"/>
                <w:sz w:val="18"/>
                <w:szCs w:val="18"/>
              </w:rPr>
              <w:t>eq</w:t>
            </w:r>
          </w:p>
        </w:tc>
        <w:tc>
          <w:tcPr>
            <w:tcW w:w="2250" w:type="dxa"/>
            <w:gridSpan w:val="2"/>
            <w:tcBorders>
              <w:top w:val="single" w:sz="6" w:space="0" w:color="000000"/>
              <w:left w:val="single" w:sz="6" w:space="0" w:color="000000"/>
              <w:bottom w:val="single" w:sz="6" w:space="0" w:color="000000"/>
              <w:right w:val="single" w:sz="6" w:space="0" w:color="000000"/>
            </w:tcBorders>
            <w:vAlign w:val="center"/>
          </w:tcPr>
          <w:p w:rsidR="00C64633" w:rsidRPr="00C64633" w:rsidRDefault="00C64633" w:rsidP="00C64633">
            <w:pPr>
              <w:spacing w:after="0" w:line="240" w:lineRule="auto"/>
              <w:rPr>
                <w:rFonts w:ascii="Palatino Linotype" w:hAnsi="Palatino Linotype"/>
                <w:sz w:val="18"/>
                <w:szCs w:val="18"/>
              </w:rPr>
            </w:pPr>
            <w:r w:rsidRPr="00C64633">
              <w:rPr>
                <w:rFonts w:ascii="Palatino Linotype" w:hAnsi="Palatino Linotype"/>
                <w:sz w:val="18"/>
                <w:szCs w:val="18"/>
              </w:rPr>
              <w:t>Organic Chemistry I &amp;  II</w:t>
            </w:r>
          </w:p>
        </w:tc>
        <w:tc>
          <w:tcPr>
            <w:tcW w:w="883" w:type="dxa"/>
            <w:tcBorders>
              <w:top w:val="single" w:sz="6" w:space="0" w:color="000000"/>
              <w:left w:val="single" w:sz="6" w:space="0" w:color="000000"/>
              <w:bottom w:val="single" w:sz="6" w:space="0" w:color="000000"/>
              <w:right w:val="single" w:sz="8" w:space="0" w:color="auto"/>
            </w:tcBorders>
            <w:vAlign w:val="center"/>
          </w:tcPr>
          <w:p w:rsidR="00C64633" w:rsidRPr="002334A6" w:rsidRDefault="00C64633" w:rsidP="00C64633">
            <w:pPr>
              <w:spacing w:after="0" w:line="240" w:lineRule="auto"/>
              <w:jc w:val="center"/>
              <w:rPr>
                <w:rFonts w:ascii="Palatino Linotype" w:hAnsi="Palatino Linotype"/>
                <w:sz w:val="20"/>
                <w:szCs w:val="18"/>
              </w:rPr>
            </w:pPr>
            <w:r w:rsidRPr="002334A6">
              <w:rPr>
                <w:rFonts w:ascii="Palatino Linotype" w:hAnsi="Palatino Linotype"/>
                <w:sz w:val="20"/>
                <w:szCs w:val="18"/>
              </w:rPr>
              <w:t>6</w:t>
            </w:r>
          </w:p>
        </w:tc>
      </w:tr>
      <w:tr w:rsidR="00EF0B65" w:rsidRPr="002B1D98" w:rsidTr="003508F4">
        <w:trPr>
          <w:trHeight w:val="313"/>
        </w:trPr>
        <w:tc>
          <w:tcPr>
            <w:tcW w:w="8208" w:type="dxa"/>
            <w:gridSpan w:val="9"/>
            <w:tcBorders>
              <w:top w:val="single" w:sz="6" w:space="0" w:color="000000"/>
              <w:left w:val="single" w:sz="8" w:space="0" w:color="auto"/>
              <w:bottom w:val="single" w:sz="8" w:space="0" w:color="auto"/>
              <w:right w:val="single" w:sz="6" w:space="0" w:color="000000"/>
            </w:tcBorders>
            <w:shd w:val="clear" w:color="auto" w:fill="FFFFFF" w:themeFill="background1"/>
            <w:vAlign w:val="bottom"/>
          </w:tcPr>
          <w:p w:rsidR="00EF0B65" w:rsidRPr="00C83576" w:rsidRDefault="00900D08" w:rsidP="00900D08">
            <w:pPr>
              <w:spacing w:after="0" w:line="240" w:lineRule="auto"/>
              <w:rPr>
                <w:rFonts w:ascii="Palatino Linotype" w:hAnsi="Palatino Linotype"/>
                <w:b/>
                <w:sz w:val="18"/>
                <w:szCs w:val="18"/>
              </w:rPr>
            </w:pPr>
            <w:r w:rsidRPr="00C83576">
              <w:rPr>
                <w:rFonts w:ascii="Palatino Linotype" w:hAnsi="Palatino Linotype"/>
                <w:sz w:val="18"/>
                <w:szCs w:val="18"/>
              </w:rPr>
              <w:t>A t</w:t>
            </w:r>
            <w:r w:rsidR="00EF0B65" w:rsidRPr="00C83576">
              <w:rPr>
                <w:rFonts w:ascii="Palatino Linotype" w:hAnsi="Palatino Linotype"/>
                <w:sz w:val="18"/>
                <w:szCs w:val="18"/>
              </w:rPr>
              <w:t xml:space="preserve">otal </w:t>
            </w:r>
            <w:r w:rsidRPr="00C83576">
              <w:rPr>
                <w:rFonts w:ascii="Palatino Linotype" w:hAnsi="Palatino Linotype"/>
                <w:sz w:val="18"/>
                <w:szCs w:val="18"/>
              </w:rPr>
              <w:t xml:space="preserve">of 60 credits is </w:t>
            </w:r>
            <w:r w:rsidR="00AC4FCF" w:rsidRPr="00C83576">
              <w:rPr>
                <w:rFonts w:ascii="Palatino Linotype" w:hAnsi="Palatino Linotype"/>
                <w:sz w:val="18"/>
                <w:szCs w:val="18"/>
              </w:rPr>
              <w:t xml:space="preserve">required </w:t>
            </w:r>
            <w:r w:rsidRPr="00C83576">
              <w:rPr>
                <w:rFonts w:ascii="Palatino Linotype" w:hAnsi="Palatino Linotype"/>
                <w:sz w:val="18"/>
                <w:szCs w:val="18"/>
              </w:rPr>
              <w:t xml:space="preserve">to complete the degree program.  </w:t>
            </w:r>
            <w:r w:rsidR="00EF0B65" w:rsidRPr="00C83576">
              <w:rPr>
                <w:rFonts w:ascii="Palatino Linotype" w:hAnsi="Palatino Linotype"/>
                <w:sz w:val="18"/>
                <w:szCs w:val="18"/>
              </w:rPr>
              <w:t xml:space="preserve">If necessary, complete additional </w:t>
            </w:r>
            <w:r w:rsidRPr="00C83576">
              <w:rPr>
                <w:rFonts w:ascii="Palatino Linotype" w:hAnsi="Palatino Linotype"/>
                <w:sz w:val="18"/>
                <w:szCs w:val="18"/>
              </w:rPr>
              <w:t xml:space="preserve">general education or engineering specialty </w:t>
            </w:r>
            <w:r w:rsidR="00EF0B65" w:rsidRPr="00C83576">
              <w:rPr>
                <w:rFonts w:ascii="Palatino Linotype" w:hAnsi="Palatino Linotype"/>
                <w:sz w:val="18"/>
                <w:szCs w:val="18"/>
              </w:rPr>
              <w:t xml:space="preserve">courses. </w:t>
            </w:r>
            <w:r w:rsidRPr="00C83576">
              <w:rPr>
                <w:rFonts w:ascii="Palatino Linotype" w:hAnsi="Palatino Linotype"/>
                <w:sz w:val="18"/>
                <w:szCs w:val="18"/>
              </w:rPr>
              <w:t xml:space="preserve"> </w:t>
            </w:r>
            <w:r w:rsidR="00EF0B65" w:rsidRPr="00C83576">
              <w:rPr>
                <w:rFonts w:ascii="Palatino Linotype" w:hAnsi="Palatino Linotype" w:cs="Arial"/>
                <w:sz w:val="18"/>
                <w:szCs w:val="18"/>
              </w:rPr>
              <w:t xml:space="preserve">See an advisor or transfer specialist for guidance on courses that will best transfer to the selected university engineering program. </w:t>
            </w:r>
          </w:p>
        </w:tc>
        <w:tc>
          <w:tcPr>
            <w:tcW w:w="883" w:type="dxa"/>
            <w:tcBorders>
              <w:top w:val="single" w:sz="6" w:space="0" w:color="000000"/>
              <w:left w:val="single" w:sz="6" w:space="0" w:color="000000"/>
              <w:bottom w:val="single" w:sz="8" w:space="0" w:color="auto"/>
              <w:right w:val="single" w:sz="8" w:space="0" w:color="auto"/>
            </w:tcBorders>
            <w:vAlign w:val="center"/>
          </w:tcPr>
          <w:p w:rsidR="00EF0B65" w:rsidRPr="002334A6" w:rsidRDefault="00EF0B65" w:rsidP="00EF0B65">
            <w:pPr>
              <w:spacing w:after="0" w:line="240" w:lineRule="auto"/>
              <w:jc w:val="center"/>
              <w:rPr>
                <w:rFonts w:ascii="Palatino Linotype" w:hAnsi="Palatino Linotype"/>
                <w:sz w:val="20"/>
                <w:szCs w:val="18"/>
              </w:rPr>
            </w:pPr>
            <w:r w:rsidRPr="002334A6">
              <w:rPr>
                <w:rFonts w:ascii="Palatino Linotype" w:hAnsi="Palatino Linotype"/>
                <w:sz w:val="20"/>
                <w:szCs w:val="18"/>
              </w:rPr>
              <w:t>60</w:t>
            </w:r>
          </w:p>
        </w:tc>
      </w:tr>
    </w:tbl>
    <w:p w:rsidR="00C83576" w:rsidRDefault="00C83576" w:rsidP="00992DB5">
      <w:pPr>
        <w:pStyle w:val="NormalWeb"/>
        <w:spacing w:before="240" w:beforeAutospacing="0" w:after="0" w:afterAutospacing="0"/>
        <w:rPr>
          <w:rFonts w:ascii="Palatino Linotype" w:hAnsi="Palatino Linotype" w:cs="Arial"/>
          <w:bCs/>
          <w:sz w:val="22"/>
          <w:szCs w:val="22"/>
          <w:u w:val="single"/>
        </w:rPr>
      </w:pPr>
    </w:p>
    <w:p w:rsidR="00BB3578" w:rsidRPr="004730ED" w:rsidRDefault="003A0B97" w:rsidP="001103E5">
      <w:pPr>
        <w:spacing w:before="240" w:after="240" w:line="240" w:lineRule="auto"/>
        <w:rPr>
          <w:rFonts w:ascii="Palatino Linotype" w:hAnsi="Palatino Linotype" w:cs="Arial"/>
          <w:b/>
          <w:sz w:val="20"/>
          <w:szCs w:val="20"/>
        </w:rPr>
      </w:pPr>
      <w:r w:rsidRPr="004730ED">
        <w:rPr>
          <w:rFonts w:ascii="Palatino Linotype" w:hAnsi="Palatino Linotype" w:cs="Arial"/>
          <w:b/>
          <w:sz w:val="20"/>
          <w:szCs w:val="20"/>
        </w:rPr>
        <w:lastRenderedPageBreak/>
        <w:t>A</w:t>
      </w:r>
      <w:r w:rsidR="00A779D8" w:rsidRPr="004730ED">
        <w:rPr>
          <w:rFonts w:ascii="Palatino Linotype" w:hAnsi="Palatino Linotype" w:cs="Arial"/>
          <w:b/>
          <w:sz w:val="20"/>
          <w:szCs w:val="20"/>
        </w:rPr>
        <w:t xml:space="preserve">PPLICABLE </w:t>
      </w:r>
      <w:r w:rsidR="009B3FAD">
        <w:rPr>
          <w:rFonts w:ascii="Palatino Linotype" w:hAnsi="Palatino Linotype" w:cs="Arial"/>
          <w:b/>
          <w:sz w:val="20"/>
          <w:szCs w:val="20"/>
        </w:rPr>
        <w:t xml:space="preserve"> </w:t>
      </w:r>
      <w:r w:rsidR="00A779D8" w:rsidRPr="004730ED">
        <w:rPr>
          <w:rFonts w:ascii="Palatino Linotype" w:hAnsi="Palatino Linotype" w:cs="Arial"/>
          <w:b/>
          <w:sz w:val="20"/>
          <w:szCs w:val="20"/>
        </w:rPr>
        <w:t>PROGRAMS</w:t>
      </w:r>
      <w:r w:rsidR="00FE5391">
        <w:rPr>
          <w:rFonts w:ascii="Palatino Linotype" w:hAnsi="Palatino Linotype" w:cs="Arial"/>
          <w:b/>
          <w:sz w:val="20"/>
          <w:szCs w:val="20"/>
        </w:rPr>
        <w:t>.</w:t>
      </w:r>
      <w:r w:rsidR="00C60C59" w:rsidRPr="004730ED">
        <w:rPr>
          <w:rFonts w:ascii="Palatino Linotype" w:hAnsi="Palatino Linotype" w:cs="Arial"/>
          <w:sz w:val="20"/>
          <w:szCs w:val="20"/>
        </w:rPr>
        <w:t xml:space="preserve">  </w:t>
      </w:r>
      <w:r w:rsidR="00C65D6E" w:rsidRPr="004730ED">
        <w:rPr>
          <w:rFonts w:ascii="Palatino Linotype" w:hAnsi="Palatino Linotype" w:cs="Arial"/>
          <w:sz w:val="20"/>
          <w:szCs w:val="20"/>
        </w:rPr>
        <w:t>To comp</w:t>
      </w:r>
      <w:r w:rsidR="00B23937" w:rsidRPr="004730ED">
        <w:rPr>
          <w:rFonts w:ascii="Palatino Linotype" w:hAnsi="Palatino Linotype" w:cs="Arial"/>
          <w:sz w:val="20"/>
          <w:szCs w:val="20"/>
        </w:rPr>
        <w:t>lete a</w:t>
      </w:r>
      <w:r w:rsidR="00B07B0B" w:rsidRPr="004730ED">
        <w:rPr>
          <w:rFonts w:ascii="Palatino Linotype" w:hAnsi="Palatino Linotype" w:cs="Arial"/>
          <w:sz w:val="20"/>
          <w:szCs w:val="20"/>
        </w:rPr>
        <w:t xml:space="preserve">n engineering </w:t>
      </w:r>
      <w:r w:rsidR="0034643A" w:rsidRPr="004730ED">
        <w:rPr>
          <w:rFonts w:ascii="Palatino Linotype" w:hAnsi="Palatino Linotype" w:cs="Arial"/>
          <w:sz w:val="20"/>
          <w:szCs w:val="20"/>
        </w:rPr>
        <w:t xml:space="preserve">baccalaureate degree program, </w:t>
      </w:r>
      <w:r w:rsidR="007F62B9" w:rsidRPr="004730ED">
        <w:rPr>
          <w:rFonts w:ascii="Palatino Linotype" w:hAnsi="Palatino Linotype" w:cs="Arial"/>
          <w:sz w:val="20"/>
          <w:szCs w:val="20"/>
        </w:rPr>
        <w:t>courses from</w:t>
      </w:r>
      <w:r w:rsidR="00080036" w:rsidRPr="004730ED">
        <w:rPr>
          <w:rFonts w:ascii="Palatino Linotype" w:hAnsi="Palatino Linotype" w:cs="Arial"/>
          <w:sz w:val="20"/>
          <w:szCs w:val="20"/>
        </w:rPr>
        <w:t xml:space="preserve"> </w:t>
      </w:r>
      <w:r w:rsidR="0034643A" w:rsidRPr="004730ED">
        <w:rPr>
          <w:rFonts w:ascii="Palatino Linotype" w:hAnsi="Palatino Linotype" w:cs="Arial"/>
          <w:sz w:val="20"/>
          <w:szCs w:val="20"/>
        </w:rPr>
        <w:t xml:space="preserve">the </w:t>
      </w:r>
      <w:r w:rsidR="00615A94" w:rsidRPr="004730ED">
        <w:rPr>
          <w:rFonts w:ascii="Palatino Linotype" w:hAnsi="Palatino Linotype" w:cs="Arial"/>
          <w:sz w:val="20"/>
          <w:szCs w:val="20"/>
        </w:rPr>
        <w:t xml:space="preserve">Associate in Science </w:t>
      </w:r>
      <w:r w:rsidR="009F6D8E" w:rsidRPr="004730ED">
        <w:rPr>
          <w:rFonts w:ascii="Palatino Linotype" w:hAnsi="Palatino Linotype" w:cs="Arial"/>
          <w:sz w:val="20"/>
          <w:szCs w:val="20"/>
        </w:rPr>
        <w:t xml:space="preserve">Engineering </w:t>
      </w:r>
      <w:r w:rsidR="005C5057" w:rsidRPr="004730ED">
        <w:rPr>
          <w:rFonts w:ascii="Palatino Linotype" w:hAnsi="Palatino Linotype" w:cs="Arial"/>
          <w:sz w:val="20"/>
          <w:szCs w:val="20"/>
        </w:rPr>
        <w:t>B</w:t>
      </w:r>
      <w:r w:rsidR="0034643A" w:rsidRPr="004730ED">
        <w:rPr>
          <w:rFonts w:ascii="Palatino Linotype" w:hAnsi="Palatino Linotype" w:cs="Arial"/>
          <w:sz w:val="20"/>
          <w:szCs w:val="20"/>
        </w:rPr>
        <w:t xml:space="preserve">road </w:t>
      </w:r>
      <w:r w:rsidR="005C5057" w:rsidRPr="004730ED">
        <w:rPr>
          <w:rFonts w:ascii="Palatino Linotype" w:hAnsi="Palatino Linotype" w:cs="Arial"/>
          <w:sz w:val="20"/>
          <w:szCs w:val="20"/>
        </w:rPr>
        <w:t>F</w:t>
      </w:r>
      <w:r w:rsidR="0034643A" w:rsidRPr="004730ED">
        <w:rPr>
          <w:rFonts w:ascii="Palatino Linotype" w:hAnsi="Palatino Linotype" w:cs="Arial"/>
          <w:sz w:val="20"/>
          <w:szCs w:val="20"/>
        </w:rPr>
        <w:t>ield</w:t>
      </w:r>
      <w:r w:rsidR="00615A94" w:rsidRPr="004730ED">
        <w:rPr>
          <w:rFonts w:ascii="Palatino Linotype" w:hAnsi="Palatino Linotype" w:cs="Arial"/>
          <w:sz w:val="20"/>
          <w:szCs w:val="20"/>
        </w:rPr>
        <w:t xml:space="preserve"> </w:t>
      </w:r>
      <w:r w:rsidR="0034643A" w:rsidRPr="004730ED">
        <w:rPr>
          <w:rFonts w:ascii="Palatino Linotype" w:hAnsi="Palatino Linotype" w:cs="Arial"/>
          <w:sz w:val="20"/>
          <w:szCs w:val="20"/>
        </w:rPr>
        <w:t xml:space="preserve">degree program </w:t>
      </w:r>
      <w:r w:rsidR="00DC10B7" w:rsidRPr="004730ED">
        <w:rPr>
          <w:rFonts w:ascii="Palatino Linotype" w:hAnsi="Palatino Linotype" w:cs="Arial"/>
          <w:sz w:val="20"/>
          <w:szCs w:val="20"/>
        </w:rPr>
        <w:t xml:space="preserve">will </w:t>
      </w:r>
      <w:r w:rsidR="00873C04" w:rsidRPr="004730ED">
        <w:rPr>
          <w:rFonts w:ascii="Palatino Linotype" w:hAnsi="Palatino Linotype" w:cs="Arial"/>
          <w:sz w:val="20"/>
          <w:szCs w:val="20"/>
        </w:rPr>
        <w:t xml:space="preserve">transfer </w:t>
      </w:r>
      <w:r w:rsidR="00404F1F" w:rsidRPr="004730ED">
        <w:rPr>
          <w:rFonts w:ascii="Palatino Linotype" w:hAnsi="Palatino Linotype" w:cs="Arial"/>
          <w:sz w:val="20"/>
          <w:szCs w:val="20"/>
        </w:rPr>
        <w:t xml:space="preserve">to </w:t>
      </w:r>
      <w:r w:rsidR="0034643A" w:rsidRPr="004730ED">
        <w:rPr>
          <w:rFonts w:ascii="Palatino Linotype" w:hAnsi="Palatino Linotype" w:cs="Arial"/>
          <w:sz w:val="20"/>
          <w:szCs w:val="20"/>
        </w:rPr>
        <w:t>universit</w:t>
      </w:r>
      <w:r w:rsidR="00AF6049" w:rsidRPr="004730ED">
        <w:rPr>
          <w:rFonts w:ascii="Palatino Linotype" w:hAnsi="Palatino Linotype" w:cs="Arial"/>
          <w:sz w:val="20"/>
          <w:szCs w:val="20"/>
        </w:rPr>
        <w:t xml:space="preserve">y programs </w:t>
      </w:r>
      <w:r w:rsidR="0034643A" w:rsidRPr="004730ED">
        <w:rPr>
          <w:rFonts w:ascii="Palatino Linotype" w:hAnsi="Palatino Linotype" w:cs="Arial"/>
          <w:sz w:val="20"/>
          <w:szCs w:val="20"/>
        </w:rPr>
        <w:t xml:space="preserve">listed </w:t>
      </w:r>
      <w:r w:rsidR="00EA17B0" w:rsidRPr="004730ED">
        <w:rPr>
          <w:rFonts w:ascii="Palatino Linotype" w:hAnsi="Palatino Linotype" w:cs="Arial"/>
          <w:sz w:val="20"/>
          <w:szCs w:val="20"/>
        </w:rPr>
        <w:t xml:space="preserve">in Table 2 </w:t>
      </w:r>
      <w:r w:rsidR="0034643A" w:rsidRPr="004730ED">
        <w:rPr>
          <w:rFonts w:ascii="Palatino Linotype" w:hAnsi="Palatino Linotype" w:cs="Arial"/>
          <w:sz w:val="20"/>
          <w:szCs w:val="20"/>
        </w:rPr>
        <w:t xml:space="preserve">according to </w:t>
      </w:r>
      <w:r w:rsidR="001103E5" w:rsidRPr="004730ED">
        <w:rPr>
          <w:rFonts w:ascii="Palatino Linotype" w:hAnsi="Palatino Linotype" w:cs="Arial"/>
          <w:sz w:val="20"/>
          <w:szCs w:val="20"/>
        </w:rPr>
        <w:t xml:space="preserve">the </w:t>
      </w:r>
      <w:r w:rsidR="0034643A" w:rsidRPr="004730ED">
        <w:rPr>
          <w:rFonts w:ascii="Palatino Linotype" w:hAnsi="Palatino Linotype" w:cs="Arial"/>
          <w:sz w:val="20"/>
          <w:szCs w:val="20"/>
        </w:rPr>
        <w:t xml:space="preserve">terms of this agreement. </w:t>
      </w:r>
    </w:p>
    <w:tbl>
      <w:tblPr>
        <w:tblpPr w:leftFromText="180" w:rightFromText="180" w:vertAnchor="text" w:horzAnchor="margin" w:tblpXSpec="center" w:tblpY="111"/>
        <w:tblW w:w="870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18" w:space="0" w:color="000000"/>
        </w:tblBorders>
        <w:tblLook w:val="04A0" w:firstRow="1" w:lastRow="0" w:firstColumn="1" w:lastColumn="0" w:noHBand="0" w:noVBand="1"/>
      </w:tblPr>
      <w:tblGrid>
        <w:gridCol w:w="8709"/>
      </w:tblGrid>
      <w:tr w:rsidR="00B82B56" w:rsidRPr="004730ED" w:rsidTr="00105445">
        <w:trPr>
          <w:cantSplit/>
          <w:jc w:val="center"/>
        </w:trPr>
        <w:tc>
          <w:tcPr>
            <w:tcW w:w="8709" w:type="dxa"/>
            <w:tcBorders>
              <w:top w:val="single" w:sz="8" w:space="0" w:color="000000"/>
              <w:left w:val="single" w:sz="8" w:space="0" w:color="auto"/>
              <w:bottom w:val="nil"/>
              <w:right w:val="single" w:sz="8" w:space="0" w:color="auto"/>
            </w:tcBorders>
            <w:shd w:val="clear" w:color="auto" w:fill="D9D9D9" w:themeFill="background1" w:themeFillShade="D9"/>
          </w:tcPr>
          <w:p w:rsidR="00B82B56" w:rsidRPr="004730ED" w:rsidRDefault="008E2267" w:rsidP="00105445">
            <w:pPr>
              <w:spacing w:before="120" w:after="120" w:line="240" w:lineRule="auto"/>
              <w:rPr>
                <w:rFonts w:ascii="Palatino Linotype" w:hAnsi="Palatino Linotype" w:cs="Arial"/>
                <w:b/>
                <w:sz w:val="20"/>
                <w:szCs w:val="20"/>
              </w:rPr>
            </w:pPr>
            <w:r w:rsidRPr="004730ED">
              <w:rPr>
                <w:rFonts w:ascii="Palatino Linotype" w:hAnsi="Palatino Linotype" w:cs="Arial"/>
                <w:b/>
                <w:sz w:val="20"/>
                <w:szCs w:val="20"/>
              </w:rPr>
              <w:t xml:space="preserve">Table 2.  Engineering </w:t>
            </w:r>
            <w:r w:rsidR="00AC0727" w:rsidRPr="004730ED">
              <w:rPr>
                <w:rFonts w:ascii="Palatino Linotype" w:hAnsi="Palatino Linotype" w:cs="Arial"/>
                <w:b/>
                <w:sz w:val="20"/>
                <w:szCs w:val="20"/>
              </w:rPr>
              <w:t>Broad Field, A</w:t>
            </w:r>
            <w:r w:rsidR="009A3044" w:rsidRPr="004730ED">
              <w:rPr>
                <w:rFonts w:ascii="Palatino Linotype" w:hAnsi="Palatino Linotype" w:cs="Arial"/>
                <w:b/>
                <w:sz w:val="20"/>
                <w:szCs w:val="20"/>
              </w:rPr>
              <w:t>S</w:t>
            </w:r>
            <w:r w:rsidR="00AC0727" w:rsidRPr="004730ED">
              <w:rPr>
                <w:rFonts w:ascii="Palatino Linotype" w:hAnsi="Palatino Linotype" w:cs="Arial"/>
                <w:b/>
                <w:sz w:val="20"/>
                <w:szCs w:val="20"/>
              </w:rPr>
              <w:t>, articulates to</w:t>
            </w:r>
            <w:r w:rsidR="00AC0727" w:rsidRPr="004730ED">
              <w:rPr>
                <w:rFonts w:ascii="Palatino Linotype" w:hAnsi="Palatino Linotype"/>
                <w:b/>
                <w:sz w:val="20"/>
                <w:szCs w:val="20"/>
              </w:rPr>
              <w:t xml:space="preserve"> the following related university programs</w:t>
            </w:r>
            <w:r w:rsidR="00B0446D" w:rsidRPr="004730ED">
              <w:rPr>
                <w:rStyle w:val="FootnoteReference"/>
                <w:rFonts w:ascii="Palatino Linotype" w:hAnsi="Palatino Linotype"/>
                <w:b/>
                <w:sz w:val="20"/>
                <w:szCs w:val="20"/>
              </w:rPr>
              <w:footnoteReference w:id="2"/>
            </w:r>
          </w:p>
        </w:tc>
      </w:tr>
      <w:tr w:rsidR="00AF6049" w:rsidRPr="004730ED" w:rsidTr="00900D08">
        <w:trPr>
          <w:cantSplit/>
          <w:trHeight w:val="1440"/>
          <w:jc w:val="center"/>
        </w:trPr>
        <w:tc>
          <w:tcPr>
            <w:tcW w:w="8709" w:type="dxa"/>
            <w:tcBorders>
              <w:top w:val="nil"/>
              <w:left w:val="single" w:sz="8" w:space="0" w:color="auto"/>
              <w:right w:val="single" w:sz="8" w:space="0" w:color="auto"/>
            </w:tcBorders>
            <w:vAlign w:val="center"/>
          </w:tcPr>
          <w:p w:rsidR="00B07B0B" w:rsidRPr="004730ED" w:rsidRDefault="00AF6049" w:rsidP="00900D08">
            <w:pPr>
              <w:spacing w:before="120" w:after="0" w:line="240" w:lineRule="auto"/>
              <w:rPr>
                <w:rFonts w:ascii="Palatino Linotype" w:hAnsi="Palatino Linotype"/>
                <w:sz w:val="20"/>
                <w:szCs w:val="20"/>
              </w:rPr>
            </w:pPr>
            <w:r w:rsidRPr="004730ED">
              <w:rPr>
                <w:rFonts w:ascii="Palatino Linotype" w:hAnsi="Palatino Linotype"/>
                <w:b/>
                <w:sz w:val="20"/>
                <w:szCs w:val="20"/>
              </w:rPr>
              <w:t>Minnesota State University, Mankato</w:t>
            </w:r>
            <w:r w:rsidR="00E72ADD" w:rsidRPr="004730ED">
              <w:rPr>
                <w:rFonts w:ascii="Palatino Linotype" w:hAnsi="Palatino Linotype"/>
                <w:b/>
                <w:sz w:val="20"/>
                <w:szCs w:val="20"/>
              </w:rPr>
              <w:t xml:space="preserve"> </w:t>
            </w:r>
            <w:r w:rsidR="00B07B0B" w:rsidRPr="004730ED">
              <w:rPr>
                <w:rFonts w:ascii="Palatino Linotype" w:hAnsi="Palatino Linotype"/>
                <w:sz w:val="20"/>
                <w:szCs w:val="20"/>
              </w:rPr>
              <w:t>(limited seats available on a competitive basis)</w:t>
            </w:r>
          </w:p>
          <w:p w:rsidR="001447D7" w:rsidRPr="004730ED" w:rsidRDefault="001447D7" w:rsidP="00900D08">
            <w:pPr>
              <w:pStyle w:val="ListParagraph"/>
              <w:numPr>
                <w:ilvl w:val="1"/>
                <w:numId w:val="39"/>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 xml:space="preserve">Civil Engineering </w:t>
            </w:r>
          </w:p>
          <w:p w:rsidR="001447D7" w:rsidRPr="004730ED" w:rsidRDefault="001447D7" w:rsidP="00900D08">
            <w:pPr>
              <w:pStyle w:val="ListParagraph"/>
              <w:numPr>
                <w:ilvl w:val="1"/>
                <w:numId w:val="39"/>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 xml:space="preserve">Computer Engineering </w:t>
            </w:r>
          </w:p>
          <w:p w:rsidR="001447D7" w:rsidRPr="004730ED" w:rsidRDefault="001447D7" w:rsidP="00900D08">
            <w:pPr>
              <w:pStyle w:val="ListParagraph"/>
              <w:numPr>
                <w:ilvl w:val="1"/>
                <w:numId w:val="39"/>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Electrical Engineering</w:t>
            </w:r>
          </w:p>
          <w:p w:rsidR="001447D7" w:rsidRPr="004730ED" w:rsidRDefault="001447D7" w:rsidP="00900D08">
            <w:pPr>
              <w:pStyle w:val="ListParagraph"/>
              <w:numPr>
                <w:ilvl w:val="1"/>
                <w:numId w:val="39"/>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 xml:space="preserve">General Engineering </w:t>
            </w:r>
          </w:p>
          <w:p w:rsidR="00BC6B07" w:rsidRPr="004730ED" w:rsidRDefault="00992DB5" w:rsidP="00900D08">
            <w:pPr>
              <w:pStyle w:val="ListParagraph"/>
              <w:numPr>
                <w:ilvl w:val="1"/>
                <w:numId w:val="39"/>
              </w:numPr>
              <w:autoSpaceDE w:val="0"/>
              <w:autoSpaceDN w:val="0"/>
              <w:adjustRightInd w:val="0"/>
              <w:spacing w:after="0" w:line="240" w:lineRule="auto"/>
              <w:rPr>
                <w:rFonts w:ascii="Palatino Linotype" w:hAnsi="Palatino Linotype"/>
                <w:b/>
                <w:sz w:val="20"/>
                <w:szCs w:val="20"/>
              </w:rPr>
            </w:pPr>
            <w:r w:rsidRPr="004730ED">
              <w:rPr>
                <w:rFonts w:ascii="Palatino Linotype" w:hAnsi="Palatino Linotype"/>
                <w:sz w:val="20"/>
                <w:szCs w:val="20"/>
              </w:rPr>
              <w:t>Mechanical Engineering</w:t>
            </w:r>
          </w:p>
        </w:tc>
      </w:tr>
      <w:tr w:rsidR="00AF6049" w:rsidRPr="004730ED" w:rsidTr="00900D08">
        <w:trPr>
          <w:cantSplit/>
          <w:trHeight w:val="1440"/>
          <w:jc w:val="center"/>
        </w:trPr>
        <w:tc>
          <w:tcPr>
            <w:tcW w:w="8709" w:type="dxa"/>
            <w:tcBorders>
              <w:left w:val="single" w:sz="8" w:space="0" w:color="auto"/>
              <w:right w:val="single" w:sz="8" w:space="0" w:color="auto"/>
            </w:tcBorders>
            <w:vAlign w:val="center"/>
          </w:tcPr>
          <w:p w:rsidR="00B07B0B" w:rsidRPr="004730ED" w:rsidRDefault="00AF6049" w:rsidP="00900D08">
            <w:pPr>
              <w:spacing w:before="120" w:after="0" w:line="240" w:lineRule="auto"/>
              <w:rPr>
                <w:rFonts w:ascii="Palatino Linotype" w:hAnsi="Palatino Linotype"/>
                <w:sz w:val="20"/>
                <w:szCs w:val="20"/>
              </w:rPr>
            </w:pPr>
            <w:r w:rsidRPr="004730ED">
              <w:rPr>
                <w:rFonts w:ascii="Palatino Linotype" w:hAnsi="Palatino Linotype"/>
                <w:b/>
                <w:sz w:val="20"/>
                <w:szCs w:val="20"/>
              </w:rPr>
              <w:t>St. Cloud State University</w:t>
            </w:r>
            <w:r w:rsidR="00E72ADD" w:rsidRPr="004730ED">
              <w:rPr>
                <w:rFonts w:ascii="Palatino Linotype" w:hAnsi="Palatino Linotype"/>
                <w:b/>
                <w:sz w:val="20"/>
                <w:szCs w:val="20"/>
              </w:rPr>
              <w:t xml:space="preserve"> </w:t>
            </w:r>
            <w:r w:rsidR="00B07B0B" w:rsidRPr="004730ED">
              <w:rPr>
                <w:rFonts w:ascii="Palatino Linotype" w:hAnsi="Palatino Linotype"/>
                <w:sz w:val="20"/>
                <w:szCs w:val="20"/>
              </w:rPr>
              <w:t>(limited seats available on a competitive basis)</w:t>
            </w:r>
          </w:p>
          <w:p w:rsidR="001447D7" w:rsidRPr="004730ED" w:rsidRDefault="00806149" w:rsidP="00900D08">
            <w:pPr>
              <w:pStyle w:val="ListParagraph"/>
              <w:numPr>
                <w:ilvl w:val="1"/>
                <w:numId w:val="40"/>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Computer Engineering</w:t>
            </w:r>
            <w:r w:rsidR="007A61A5" w:rsidRPr="004730ED">
              <w:rPr>
                <w:rFonts w:ascii="Palatino Linotype" w:hAnsi="Palatino Linotype"/>
                <w:sz w:val="20"/>
                <w:szCs w:val="20"/>
              </w:rPr>
              <w:t xml:space="preserve"> </w:t>
            </w:r>
          </w:p>
          <w:p w:rsidR="00806149" w:rsidRPr="004730ED" w:rsidRDefault="00806149" w:rsidP="00900D08">
            <w:pPr>
              <w:pStyle w:val="ListParagraph"/>
              <w:numPr>
                <w:ilvl w:val="1"/>
                <w:numId w:val="40"/>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Electrical Engineering</w:t>
            </w:r>
          </w:p>
          <w:p w:rsidR="001447D7" w:rsidRPr="004730ED" w:rsidRDefault="001447D7" w:rsidP="00900D08">
            <w:pPr>
              <w:pStyle w:val="ListParagraph"/>
              <w:numPr>
                <w:ilvl w:val="1"/>
                <w:numId w:val="40"/>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Manufacturing</w:t>
            </w:r>
          </w:p>
          <w:p w:rsidR="00E17D72" w:rsidRPr="004730ED" w:rsidRDefault="00806149" w:rsidP="00900D08">
            <w:pPr>
              <w:pStyle w:val="ListParagraph"/>
              <w:numPr>
                <w:ilvl w:val="1"/>
                <w:numId w:val="40"/>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Mechanical Engineering</w:t>
            </w:r>
          </w:p>
        </w:tc>
      </w:tr>
      <w:tr w:rsidR="00AF6049" w:rsidRPr="004730ED" w:rsidTr="00FE5391">
        <w:trPr>
          <w:cantSplit/>
          <w:trHeight w:val="726"/>
          <w:jc w:val="center"/>
        </w:trPr>
        <w:tc>
          <w:tcPr>
            <w:tcW w:w="8709" w:type="dxa"/>
            <w:tcBorders>
              <w:left w:val="single" w:sz="8" w:space="0" w:color="auto"/>
              <w:right w:val="single" w:sz="8" w:space="0" w:color="auto"/>
            </w:tcBorders>
          </w:tcPr>
          <w:p w:rsidR="00B07B0B" w:rsidRPr="004730ED" w:rsidRDefault="00AF6049" w:rsidP="00FE5391">
            <w:pPr>
              <w:spacing w:before="100" w:beforeAutospacing="1" w:after="0" w:line="240" w:lineRule="auto"/>
              <w:rPr>
                <w:rFonts w:ascii="Palatino Linotype" w:hAnsi="Palatino Linotype"/>
                <w:sz w:val="20"/>
                <w:szCs w:val="20"/>
              </w:rPr>
            </w:pPr>
            <w:r w:rsidRPr="004730ED">
              <w:rPr>
                <w:rFonts w:ascii="Palatino Linotype" w:hAnsi="Palatino Linotype"/>
                <w:b/>
                <w:sz w:val="20"/>
                <w:szCs w:val="20"/>
              </w:rPr>
              <w:t>Winona State University</w:t>
            </w:r>
            <w:r w:rsidR="00E72ADD" w:rsidRPr="004730ED">
              <w:rPr>
                <w:rFonts w:ascii="Palatino Linotype" w:hAnsi="Palatino Linotype"/>
                <w:b/>
                <w:sz w:val="20"/>
                <w:szCs w:val="20"/>
              </w:rPr>
              <w:t xml:space="preserve"> </w:t>
            </w:r>
            <w:r w:rsidR="00B07B0B" w:rsidRPr="004730ED">
              <w:rPr>
                <w:rFonts w:ascii="Palatino Linotype" w:hAnsi="Palatino Linotype"/>
                <w:sz w:val="20"/>
                <w:szCs w:val="20"/>
              </w:rPr>
              <w:t>(limited seats available on a competitive basis)</w:t>
            </w:r>
          </w:p>
          <w:p w:rsidR="00E17D72" w:rsidRPr="004730ED" w:rsidRDefault="00806149" w:rsidP="00FE5391">
            <w:pPr>
              <w:pStyle w:val="ListParagraph"/>
              <w:numPr>
                <w:ilvl w:val="1"/>
                <w:numId w:val="34"/>
              </w:numPr>
              <w:autoSpaceDE w:val="0"/>
              <w:autoSpaceDN w:val="0"/>
              <w:adjustRightInd w:val="0"/>
              <w:spacing w:after="0" w:line="240" w:lineRule="auto"/>
              <w:rPr>
                <w:rFonts w:ascii="Palatino Linotype" w:hAnsi="Palatino Linotype"/>
                <w:sz w:val="20"/>
                <w:szCs w:val="20"/>
              </w:rPr>
            </w:pPr>
            <w:r w:rsidRPr="004730ED">
              <w:rPr>
                <w:rFonts w:ascii="Palatino Linotype" w:hAnsi="Palatino Linotype"/>
                <w:sz w:val="20"/>
                <w:szCs w:val="20"/>
              </w:rPr>
              <w:t>Composite Materials Engineering</w:t>
            </w:r>
          </w:p>
        </w:tc>
      </w:tr>
    </w:tbl>
    <w:p w:rsidR="00C83576" w:rsidRPr="004730ED" w:rsidRDefault="00C83576" w:rsidP="008B0879">
      <w:pPr>
        <w:pStyle w:val="NormalWeb"/>
        <w:spacing w:before="120" w:beforeAutospacing="0" w:after="0" w:afterAutospacing="0"/>
        <w:rPr>
          <w:rFonts w:ascii="Palatino Linotype" w:hAnsi="Palatino Linotype" w:cs="Arial"/>
          <w:bCs/>
          <w:sz w:val="20"/>
          <w:szCs w:val="20"/>
          <w:u w:val="single"/>
        </w:rPr>
      </w:pPr>
      <w:r w:rsidRPr="004730ED">
        <w:rPr>
          <w:rFonts w:ascii="Palatino Linotype" w:hAnsi="Palatino Linotype" w:cs="Arial"/>
          <w:bCs/>
          <w:sz w:val="20"/>
          <w:szCs w:val="20"/>
          <w:u w:val="single"/>
        </w:rPr>
        <w:t>Terms of Agreement</w:t>
      </w:r>
    </w:p>
    <w:p w:rsidR="001447D7" w:rsidRPr="004730ED" w:rsidRDefault="001447D7" w:rsidP="008B0879">
      <w:pPr>
        <w:pStyle w:val="NormalWeb"/>
        <w:numPr>
          <w:ilvl w:val="0"/>
          <w:numId w:val="10"/>
        </w:numPr>
        <w:spacing w:before="120" w:beforeAutospacing="0" w:after="0" w:afterAutospacing="0"/>
        <w:rPr>
          <w:rFonts w:ascii="Palatino Linotype" w:hAnsi="Palatino Linotype" w:cs="Arial"/>
          <w:sz w:val="20"/>
          <w:szCs w:val="20"/>
        </w:rPr>
      </w:pPr>
      <w:r w:rsidRPr="004730ED">
        <w:rPr>
          <w:rFonts w:ascii="Palatino Linotype" w:hAnsi="Palatino Linotype" w:cs="Arial"/>
          <w:sz w:val="20"/>
          <w:szCs w:val="20"/>
        </w:rPr>
        <w:t xml:space="preserve">This Articulation Agreement is effective on </w:t>
      </w:r>
      <w:r w:rsidR="00E27030">
        <w:rPr>
          <w:rFonts w:ascii="Palatino Linotype" w:hAnsi="Palatino Linotype" w:cs="Arial"/>
          <w:sz w:val="20"/>
          <w:szCs w:val="20"/>
        </w:rPr>
        <w:t xml:space="preserve">January 1, </w:t>
      </w:r>
      <w:r w:rsidRPr="004730ED">
        <w:rPr>
          <w:rFonts w:ascii="Palatino Linotype" w:hAnsi="Palatino Linotype" w:cs="Arial"/>
          <w:sz w:val="20"/>
          <w:szCs w:val="20"/>
        </w:rPr>
        <w:t>201</w:t>
      </w:r>
      <w:r w:rsidR="00E27030">
        <w:rPr>
          <w:rFonts w:ascii="Palatino Linotype" w:hAnsi="Palatino Linotype" w:cs="Arial"/>
          <w:sz w:val="20"/>
          <w:szCs w:val="20"/>
        </w:rPr>
        <w:t>3</w:t>
      </w:r>
      <w:r w:rsidRPr="004730ED">
        <w:rPr>
          <w:rFonts w:ascii="Palatino Linotype" w:hAnsi="Palatino Linotype" w:cs="Arial"/>
          <w:sz w:val="20"/>
          <w:szCs w:val="20"/>
        </w:rPr>
        <w:t xml:space="preserve">, and shall remain in effect </w:t>
      </w:r>
      <w:r w:rsidR="004730ED" w:rsidRPr="004730ED">
        <w:rPr>
          <w:rFonts w:ascii="Palatino Linotype" w:hAnsi="Palatino Linotype" w:cs="Arial"/>
          <w:sz w:val="20"/>
          <w:szCs w:val="20"/>
        </w:rPr>
        <w:t xml:space="preserve">until the end date of </w:t>
      </w:r>
      <w:r w:rsidR="00E27030">
        <w:rPr>
          <w:rFonts w:ascii="Palatino Linotype" w:hAnsi="Palatino Linotype" w:cs="Arial"/>
          <w:sz w:val="20"/>
          <w:szCs w:val="20"/>
        </w:rPr>
        <w:t>January 1, 2018,</w:t>
      </w:r>
      <w:r w:rsidR="004730ED" w:rsidRPr="004730ED">
        <w:rPr>
          <w:rFonts w:ascii="Palatino Linotype" w:hAnsi="Palatino Linotype" w:cs="Arial"/>
          <w:sz w:val="20"/>
          <w:szCs w:val="20"/>
        </w:rPr>
        <w:t xml:space="preserve"> or five years, whichever occurs first.  </w:t>
      </w:r>
      <w:r w:rsidRPr="004730ED">
        <w:rPr>
          <w:rFonts w:ascii="Palatino Linotype" w:hAnsi="Palatino Linotype" w:cs="Arial"/>
          <w:sz w:val="20"/>
          <w:szCs w:val="20"/>
        </w:rPr>
        <w:t xml:space="preserve">This Articulation Agreement will be reviewed by all parties within five years of the effective date, on or before </w:t>
      </w:r>
      <w:r w:rsidR="009130DF">
        <w:rPr>
          <w:rFonts w:ascii="Palatino Linotype" w:hAnsi="Palatino Linotype" w:cs="Arial"/>
          <w:sz w:val="20"/>
          <w:szCs w:val="20"/>
        </w:rPr>
        <w:t xml:space="preserve">August </w:t>
      </w:r>
      <w:r w:rsidR="00E27030">
        <w:rPr>
          <w:rFonts w:ascii="Palatino Linotype" w:hAnsi="Palatino Linotype" w:cs="Arial"/>
          <w:sz w:val="20"/>
          <w:szCs w:val="20"/>
        </w:rPr>
        <w:t xml:space="preserve">1, </w:t>
      </w:r>
      <w:r w:rsidRPr="004730ED">
        <w:rPr>
          <w:rFonts w:ascii="Palatino Linotype" w:hAnsi="Palatino Linotype" w:cs="Arial"/>
          <w:sz w:val="20"/>
          <w:szCs w:val="20"/>
        </w:rPr>
        <w:t>2017</w:t>
      </w:r>
      <w:r w:rsidR="004730ED" w:rsidRPr="004730ED">
        <w:rPr>
          <w:rFonts w:ascii="Palatino Linotype" w:hAnsi="Palatino Linotype" w:cs="Arial"/>
          <w:sz w:val="20"/>
          <w:szCs w:val="20"/>
        </w:rPr>
        <w:t xml:space="preserve"> (within six months of the end date)</w:t>
      </w:r>
      <w:r w:rsidRPr="004730ED">
        <w:rPr>
          <w:rFonts w:ascii="Palatino Linotype" w:hAnsi="Palatino Linotype" w:cs="Arial"/>
          <w:sz w:val="20"/>
          <w:szCs w:val="20"/>
        </w:rPr>
        <w:t>.</w:t>
      </w:r>
    </w:p>
    <w:p w:rsidR="001447D7" w:rsidRPr="004730ED" w:rsidRDefault="001447D7" w:rsidP="008B0879">
      <w:pPr>
        <w:pStyle w:val="NormalWeb"/>
        <w:numPr>
          <w:ilvl w:val="0"/>
          <w:numId w:val="10"/>
        </w:numPr>
        <w:spacing w:before="60" w:beforeAutospacing="0" w:after="0" w:afterAutospacing="0"/>
        <w:rPr>
          <w:rFonts w:ascii="Palatino Linotype" w:hAnsi="Palatino Linotype" w:cs="Arial"/>
          <w:sz w:val="20"/>
          <w:szCs w:val="20"/>
        </w:rPr>
      </w:pPr>
      <w:r w:rsidRPr="004730ED">
        <w:rPr>
          <w:rFonts w:ascii="Palatino Linotype" w:hAnsi="Palatino Linotype" w:cs="Arial"/>
          <w:sz w:val="20"/>
          <w:szCs w:val="20"/>
        </w:rPr>
        <w:t>The Chief Academic Officers or designees of the parties to this agreement will implement the terms of this agreement, including identifying and incorporating any</w:t>
      </w:r>
      <w:r w:rsidRPr="003A3684">
        <w:rPr>
          <w:rFonts w:ascii="Palatino Linotype" w:hAnsi="Palatino Linotype" w:cs="Arial"/>
          <w:sz w:val="22"/>
          <w:szCs w:val="22"/>
        </w:rPr>
        <w:t xml:space="preserve"> </w:t>
      </w:r>
      <w:r w:rsidRPr="004730ED">
        <w:rPr>
          <w:rFonts w:ascii="Palatino Linotype" w:hAnsi="Palatino Linotype" w:cs="Arial"/>
          <w:sz w:val="20"/>
          <w:szCs w:val="20"/>
        </w:rPr>
        <w:t>changes into subsequent agreements, assuring compliance with system policy, procedure and guidelines, and conducting a periodic review of this agreement.</w:t>
      </w:r>
    </w:p>
    <w:p w:rsidR="001447D7" w:rsidRPr="004730ED" w:rsidRDefault="001447D7" w:rsidP="008B0879">
      <w:pPr>
        <w:pStyle w:val="NormalWeb"/>
        <w:numPr>
          <w:ilvl w:val="0"/>
          <w:numId w:val="10"/>
        </w:numPr>
        <w:spacing w:before="60" w:beforeAutospacing="0" w:after="0" w:afterAutospacing="0"/>
        <w:rPr>
          <w:rFonts w:ascii="Palatino Linotype" w:hAnsi="Palatino Linotype" w:cs="Arial"/>
          <w:sz w:val="20"/>
          <w:szCs w:val="20"/>
        </w:rPr>
      </w:pPr>
      <w:r w:rsidRPr="004730ED">
        <w:rPr>
          <w:rFonts w:ascii="Palatino Linotype" w:hAnsi="Palatino Linotype" w:cs="Arial"/>
          <w:sz w:val="20"/>
          <w:szCs w:val="20"/>
        </w:rPr>
        <w:t xml:space="preserve">Program curriculum and requirements may change as agreed by all parties. </w:t>
      </w:r>
    </w:p>
    <w:p w:rsidR="00FE5391" w:rsidRDefault="00FE5391" w:rsidP="00AC0727">
      <w:pPr>
        <w:rPr>
          <w:rFonts w:ascii="Palatino Linotype" w:hAnsi="Palatino Linotype" w:cs="Arial"/>
          <w:sz w:val="20"/>
          <w:szCs w:val="20"/>
        </w:rPr>
      </w:pPr>
    </w:p>
    <w:p w:rsidR="00862585" w:rsidRPr="004730ED" w:rsidRDefault="002822FD" w:rsidP="00AC0727">
      <w:pPr>
        <w:rPr>
          <w:rFonts w:ascii="Palatino Linotype" w:hAnsi="Palatino Linotype" w:cs="Arial"/>
          <w:b/>
          <w:i/>
          <w:sz w:val="20"/>
          <w:szCs w:val="20"/>
        </w:rPr>
      </w:pPr>
      <w:r w:rsidRPr="004730ED">
        <w:rPr>
          <w:rFonts w:ascii="Palatino Linotype" w:hAnsi="Palatino Linotype" w:cs="Arial"/>
          <w:sz w:val="20"/>
          <w:szCs w:val="20"/>
        </w:rPr>
        <w:t>B</w:t>
      </w:r>
      <w:r w:rsidR="0038737B" w:rsidRPr="004730ED">
        <w:rPr>
          <w:rFonts w:ascii="Palatino Linotype" w:hAnsi="Palatino Linotype" w:cs="Arial"/>
          <w:sz w:val="20"/>
          <w:szCs w:val="20"/>
        </w:rPr>
        <w:t xml:space="preserve">y my signature below, I support the </w:t>
      </w:r>
      <w:r w:rsidR="00E06B33" w:rsidRPr="004730ED">
        <w:rPr>
          <w:rFonts w:ascii="Palatino Linotype" w:hAnsi="Palatino Linotype" w:cs="Arial"/>
          <w:sz w:val="20"/>
          <w:szCs w:val="20"/>
        </w:rPr>
        <w:t xml:space="preserve">terms </w:t>
      </w:r>
      <w:r w:rsidR="0038737B" w:rsidRPr="004730ED">
        <w:rPr>
          <w:rFonts w:ascii="Palatino Linotype" w:hAnsi="Palatino Linotype" w:cs="Arial"/>
          <w:sz w:val="20"/>
          <w:szCs w:val="20"/>
        </w:rPr>
        <w:t>of this “</w:t>
      </w:r>
      <w:r w:rsidR="00080036" w:rsidRPr="004730ED">
        <w:rPr>
          <w:rFonts w:ascii="Palatino Linotype" w:hAnsi="Palatino Linotype" w:cs="Arial"/>
          <w:sz w:val="20"/>
          <w:szCs w:val="20"/>
        </w:rPr>
        <w:t xml:space="preserve">MINNESOTA </w:t>
      </w:r>
      <w:r w:rsidR="009D2111" w:rsidRPr="004730ED">
        <w:rPr>
          <w:rFonts w:ascii="Palatino Linotype" w:hAnsi="Palatino Linotype" w:cs="Arial"/>
          <w:sz w:val="20"/>
          <w:szCs w:val="20"/>
        </w:rPr>
        <w:t xml:space="preserve">STATE COLLEGES AND UNIVERSITIES </w:t>
      </w:r>
      <w:r w:rsidR="009808D0" w:rsidRPr="004730ED">
        <w:rPr>
          <w:rFonts w:ascii="Palatino Linotype" w:hAnsi="Palatino Linotype" w:cs="Arial"/>
          <w:sz w:val="20"/>
          <w:szCs w:val="20"/>
        </w:rPr>
        <w:t>ENGINEERING B</w:t>
      </w:r>
      <w:r w:rsidR="0091798E" w:rsidRPr="004730ED">
        <w:rPr>
          <w:rFonts w:ascii="Palatino Linotype" w:hAnsi="Palatino Linotype" w:cs="Arial"/>
          <w:sz w:val="20"/>
          <w:szCs w:val="20"/>
        </w:rPr>
        <w:t xml:space="preserve">ROAD FIELD </w:t>
      </w:r>
      <w:r w:rsidR="008B2618" w:rsidRPr="004730ED">
        <w:rPr>
          <w:rFonts w:ascii="Palatino Linotype" w:hAnsi="Palatino Linotype" w:cs="Arial"/>
          <w:sz w:val="20"/>
          <w:szCs w:val="20"/>
        </w:rPr>
        <w:t xml:space="preserve">ARTICULATION </w:t>
      </w:r>
      <w:r w:rsidR="00080036" w:rsidRPr="004730ED">
        <w:rPr>
          <w:rFonts w:ascii="Palatino Linotype" w:hAnsi="Palatino Linotype" w:cs="Arial"/>
          <w:sz w:val="20"/>
          <w:szCs w:val="20"/>
        </w:rPr>
        <w:t>AGREEMENT</w:t>
      </w:r>
      <w:r w:rsidR="0038737B" w:rsidRPr="004730ED">
        <w:rPr>
          <w:rFonts w:ascii="Palatino Linotype" w:hAnsi="Palatino Linotype" w:cs="Arial"/>
          <w:sz w:val="20"/>
          <w:szCs w:val="20"/>
        </w:rPr>
        <w:t xml:space="preserve">” </w:t>
      </w:r>
    </w:p>
    <w:tbl>
      <w:tblPr>
        <w:tblStyle w:val="TableGrid"/>
        <w:tblW w:w="0" w:type="auto"/>
        <w:tblLook w:val="04A0" w:firstRow="1" w:lastRow="0" w:firstColumn="1" w:lastColumn="0" w:noHBand="0" w:noVBand="1"/>
      </w:tblPr>
      <w:tblGrid>
        <w:gridCol w:w="8550"/>
      </w:tblGrid>
      <w:tr w:rsidR="00A779D8" w:rsidRPr="003A3684" w:rsidTr="00F47407">
        <w:trPr>
          <w:trHeight w:val="1281"/>
        </w:trPr>
        <w:tc>
          <w:tcPr>
            <w:tcW w:w="8550" w:type="dxa"/>
          </w:tcPr>
          <w:p w:rsidR="00A779D8" w:rsidRDefault="008950D8" w:rsidP="00A779D8">
            <w:pPr>
              <w:rPr>
                <w:rFonts w:ascii="Palatino Linotype" w:hAnsi="Palatino Linotype" w:cs="Arial"/>
                <w:i/>
                <w:color w:val="FF0000"/>
              </w:rPr>
            </w:pPr>
            <w:r>
              <w:rPr>
                <w:rFonts w:ascii="Palatino Linotype" w:hAnsi="Palatino Linotype" w:cs="Arial"/>
                <w:b/>
              </w:rPr>
              <w:t>Linda Baer</w:t>
            </w:r>
            <w:r w:rsidR="00A779D8" w:rsidRPr="003A3684">
              <w:rPr>
                <w:rFonts w:ascii="Palatino Linotype" w:hAnsi="Palatino Linotype" w:cs="Arial"/>
                <w:b/>
              </w:rPr>
              <w:t xml:space="preserve">, </w:t>
            </w:r>
            <w:r>
              <w:rPr>
                <w:rFonts w:ascii="Palatino Linotype" w:hAnsi="Palatino Linotype" w:cs="Arial"/>
                <w:b/>
              </w:rPr>
              <w:t xml:space="preserve">Interim </w:t>
            </w:r>
            <w:r w:rsidR="00A779D8" w:rsidRPr="003A3684">
              <w:rPr>
                <w:rFonts w:ascii="Palatino Linotype" w:hAnsi="Palatino Linotype" w:cs="Arial"/>
                <w:b/>
              </w:rPr>
              <w:t>V</w:t>
            </w:r>
            <w:r w:rsidR="00A779D8">
              <w:rPr>
                <w:rFonts w:ascii="Palatino Linotype" w:hAnsi="Palatino Linotype" w:cs="Arial"/>
                <w:b/>
              </w:rPr>
              <w:t xml:space="preserve">ice President for </w:t>
            </w:r>
            <w:r w:rsidR="00A779D8" w:rsidRPr="003A3684">
              <w:rPr>
                <w:rFonts w:ascii="Palatino Linotype" w:hAnsi="Palatino Linotype" w:cs="Arial"/>
                <w:b/>
              </w:rPr>
              <w:t xml:space="preserve">Academic </w:t>
            </w:r>
            <w:r w:rsidR="00A779D8">
              <w:rPr>
                <w:rFonts w:ascii="Palatino Linotype" w:hAnsi="Palatino Linotype" w:cs="Arial"/>
                <w:b/>
              </w:rPr>
              <w:t xml:space="preserve">and Student </w:t>
            </w:r>
            <w:r w:rsidR="00A779D8" w:rsidRPr="003A3684">
              <w:rPr>
                <w:rFonts w:ascii="Palatino Linotype" w:hAnsi="Palatino Linotype" w:cs="Arial"/>
                <w:b/>
              </w:rPr>
              <w:t>Affairs</w:t>
            </w:r>
            <w:r w:rsidR="00A779D8" w:rsidRPr="003A3684">
              <w:rPr>
                <w:rFonts w:ascii="Palatino Linotype" w:hAnsi="Palatino Linotype" w:cs="Arial"/>
                <w:i/>
                <w:color w:val="FF0000"/>
              </w:rPr>
              <w:tab/>
            </w:r>
          </w:p>
          <w:p w:rsidR="00A779D8" w:rsidRDefault="00A779D8" w:rsidP="00A779D8">
            <w:pPr>
              <w:rPr>
                <w:rFonts w:ascii="Palatino Linotype" w:hAnsi="Palatino Linotype" w:cs="Arial"/>
                <w:i/>
              </w:rPr>
            </w:pPr>
            <w:r w:rsidRPr="003A3684">
              <w:rPr>
                <w:rFonts w:ascii="Palatino Linotype" w:hAnsi="Palatino Linotype" w:cs="Arial"/>
                <w:i/>
                <w:color w:val="FF0000"/>
              </w:rPr>
              <w:t xml:space="preserve"> </w:t>
            </w:r>
            <w:r w:rsidRPr="003A3684">
              <w:rPr>
                <w:rFonts w:ascii="Palatino Linotype" w:hAnsi="Palatino Linotype" w:cs="Arial"/>
                <w:i/>
              </w:rPr>
              <w:t>Minnesota State University, Mankato</w:t>
            </w:r>
          </w:p>
          <w:p w:rsidR="00A779D8" w:rsidRDefault="00A779D8" w:rsidP="00A779D8">
            <w:pPr>
              <w:rPr>
                <w:rFonts w:ascii="Palatino Linotype" w:hAnsi="Palatino Linotype" w:cs="Arial"/>
                <w:i/>
              </w:rPr>
            </w:pPr>
          </w:p>
          <w:p w:rsidR="001103E5" w:rsidRPr="006A1317" w:rsidRDefault="006A1317" w:rsidP="009F6D8E">
            <w:pPr>
              <w:contextualSpacing/>
              <w:rPr>
                <w:rFonts w:ascii="Palatino Linotype" w:hAnsi="Palatino Linotype" w:cs="Arial"/>
              </w:rPr>
            </w:pPr>
            <w:r w:rsidRPr="006A1317">
              <w:rPr>
                <w:rFonts w:ascii="Palatino Linotype" w:hAnsi="Palatino Linotype" w:cs="Arial"/>
              </w:rPr>
              <w:t>Electronic signature on file.</w:t>
            </w:r>
          </w:p>
          <w:p w:rsidR="00756226" w:rsidRDefault="00756226" w:rsidP="009F6D8E">
            <w:pPr>
              <w:contextualSpacing/>
              <w:rPr>
                <w:rFonts w:ascii="Palatino Linotype" w:hAnsi="Palatino Linotype" w:cs="Arial"/>
                <w:b/>
              </w:rPr>
            </w:pPr>
          </w:p>
          <w:p w:rsidR="001103E5" w:rsidRDefault="00A779D8" w:rsidP="009F6D8E">
            <w:pPr>
              <w:contextualSpacing/>
              <w:rPr>
                <w:rFonts w:ascii="Palatino Linotype" w:hAnsi="Palatino Linotype" w:cs="Arial"/>
              </w:rPr>
            </w:pPr>
            <w:r w:rsidRPr="003A3684">
              <w:rPr>
                <w:rFonts w:ascii="Palatino Linotype" w:hAnsi="Palatino Linotype" w:cs="Arial"/>
                <w:b/>
              </w:rPr>
              <w:t>Date</w:t>
            </w:r>
            <w:r w:rsidRPr="003A3684">
              <w:rPr>
                <w:rFonts w:ascii="Palatino Linotype" w:hAnsi="Palatino Linotype" w:cs="Arial"/>
              </w:rPr>
              <w:t xml:space="preserve">:  </w:t>
            </w:r>
            <w:r w:rsidR="006A1317">
              <w:rPr>
                <w:rFonts w:ascii="Palatino Linotype" w:hAnsi="Palatino Linotype" w:cs="Arial"/>
              </w:rPr>
              <w:t>12/19/2012</w:t>
            </w:r>
          </w:p>
          <w:p w:rsidR="00A779D8" w:rsidRPr="003A3684" w:rsidRDefault="00A779D8" w:rsidP="009F6D8E">
            <w:pPr>
              <w:contextualSpacing/>
              <w:rPr>
                <w:rFonts w:ascii="Palatino Linotype" w:hAnsi="Palatino Linotype" w:cs="Arial"/>
              </w:rPr>
            </w:pPr>
            <w:r w:rsidRPr="003A3684">
              <w:rPr>
                <w:rFonts w:ascii="Palatino Linotype" w:hAnsi="Palatino Linotype" w:cs="Arial"/>
              </w:rPr>
              <w:t xml:space="preserve"> </w:t>
            </w:r>
          </w:p>
        </w:tc>
      </w:tr>
      <w:tr w:rsidR="00C65D6E" w:rsidRPr="003A3684" w:rsidTr="00F47407">
        <w:trPr>
          <w:trHeight w:val="1281"/>
        </w:trPr>
        <w:tc>
          <w:tcPr>
            <w:tcW w:w="8550" w:type="dxa"/>
          </w:tcPr>
          <w:p w:rsidR="00A779D8" w:rsidRDefault="00C65D6E" w:rsidP="008B2618">
            <w:pPr>
              <w:contextualSpacing/>
              <w:rPr>
                <w:rFonts w:ascii="Palatino Linotype" w:hAnsi="Palatino Linotype" w:cs="Arial"/>
                <w:i/>
              </w:rPr>
            </w:pPr>
            <w:r w:rsidRPr="003A3684">
              <w:rPr>
                <w:rFonts w:ascii="Palatino Linotype" w:hAnsi="Palatino Linotype" w:cs="Arial"/>
              </w:rPr>
              <w:lastRenderedPageBreak/>
              <w:t xml:space="preserve"> </w:t>
            </w:r>
            <w:r w:rsidRPr="003A3684">
              <w:rPr>
                <w:rFonts w:ascii="Palatino Linotype" w:hAnsi="Palatino Linotype" w:cs="Arial"/>
                <w:b/>
              </w:rPr>
              <w:t>Devinder Malhotra, Provost</w:t>
            </w:r>
            <w:r w:rsidR="00A779D8">
              <w:rPr>
                <w:rFonts w:ascii="Palatino Linotype" w:hAnsi="Palatino Linotype" w:cs="Arial"/>
                <w:b/>
              </w:rPr>
              <w:t xml:space="preserve"> and </w:t>
            </w:r>
            <w:r w:rsidRPr="003A3684">
              <w:rPr>
                <w:rFonts w:ascii="Palatino Linotype" w:hAnsi="Palatino Linotype" w:cs="Arial"/>
                <w:b/>
              </w:rPr>
              <w:t>V</w:t>
            </w:r>
            <w:r w:rsidR="00A779D8">
              <w:rPr>
                <w:rFonts w:ascii="Palatino Linotype" w:hAnsi="Palatino Linotype" w:cs="Arial"/>
                <w:b/>
              </w:rPr>
              <w:t xml:space="preserve">ice </w:t>
            </w:r>
            <w:r w:rsidRPr="003A3684">
              <w:rPr>
                <w:rFonts w:ascii="Palatino Linotype" w:hAnsi="Palatino Linotype" w:cs="Arial"/>
                <w:b/>
              </w:rPr>
              <w:t>P</w:t>
            </w:r>
            <w:r w:rsidR="00A779D8">
              <w:rPr>
                <w:rFonts w:ascii="Palatino Linotype" w:hAnsi="Palatino Linotype" w:cs="Arial"/>
                <w:b/>
              </w:rPr>
              <w:t xml:space="preserve">resident for </w:t>
            </w:r>
            <w:r w:rsidRPr="003A3684">
              <w:rPr>
                <w:rFonts w:ascii="Palatino Linotype" w:hAnsi="Palatino Linotype" w:cs="Arial"/>
                <w:b/>
              </w:rPr>
              <w:t>Academic Affairs</w:t>
            </w:r>
            <w:r w:rsidRPr="003A3684">
              <w:rPr>
                <w:rFonts w:ascii="Palatino Linotype" w:hAnsi="Palatino Linotype" w:cs="Arial"/>
                <w:i/>
              </w:rPr>
              <w:t xml:space="preserve"> </w:t>
            </w:r>
          </w:p>
          <w:p w:rsidR="00C65D6E" w:rsidRPr="003A3684" w:rsidRDefault="00C65D6E" w:rsidP="008B2618">
            <w:pPr>
              <w:contextualSpacing/>
              <w:rPr>
                <w:rFonts w:ascii="Palatino Linotype" w:hAnsi="Palatino Linotype" w:cs="Arial"/>
                <w:b/>
              </w:rPr>
            </w:pPr>
            <w:r w:rsidRPr="003A3684">
              <w:rPr>
                <w:rFonts w:ascii="Palatino Linotype" w:hAnsi="Palatino Linotype" w:cs="Arial"/>
                <w:i/>
              </w:rPr>
              <w:t>St. Cloud State University</w:t>
            </w:r>
          </w:p>
          <w:p w:rsidR="00C65D6E" w:rsidRDefault="00C65D6E" w:rsidP="008B2618">
            <w:pPr>
              <w:contextualSpacing/>
              <w:rPr>
                <w:rFonts w:ascii="Palatino Linotype" w:hAnsi="Palatino Linotype" w:cs="Arial"/>
                <w:b/>
              </w:rPr>
            </w:pPr>
          </w:p>
          <w:p w:rsidR="001103E5" w:rsidRDefault="001103E5" w:rsidP="008B2618">
            <w:pPr>
              <w:contextualSpacing/>
              <w:rPr>
                <w:rFonts w:ascii="Palatino Linotype" w:hAnsi="Palatino Linotype" w:cs="Arial"/>
                <w:b/>
              </w:rPr>
            </w:pPr>
          </w:p>
          <w:p w:rsidR="006A1317" w:rsidRPr="006A1317" w:rsidRDefault="006A1317" w:rsidP="006A1317">
            <w:pPr>
              <w:contextualSpacing/>
              <w:rPr>
                <w:rFonts w:ascii="Palatino Linotype" w:hAnsi="Palatino Linotype" w:cs="Arial"/>
              </w:rPr>
            </w:pPr>
            <w:r w:rsidRPr="006A1317">
              <w:rPr>
                <w:rFonts w:ascii="Palatino Linotype" w:hAnsi="Palatino Linotype" w:cs="Arial"/>
              </w:rPr>
              <w:t>Electronic signature on file.</w:t>
            </w:r>
          </w:p>
          <w:p w:rsidR="006A1317" w:rsidRDefault="006A1317" w:rsidP="006A1317">
            <w:pPr>
              <w:contextualSpacing/>
              <w:rPr>
                <w:rFonts w:ascii="Palatino Linotype" w:hAnsi="Palatino Linotype" w:cs="Arial"/>
                <w:b/>
              </w:rPr>
            </w:pPr>
          </w:p>
          <w:p w:rsidR="00C65D6E" w:rsidRDefault="006A1317" w:rsidP="008B2618">
            <w:pPr>
              <w:contextualSpacing/>
              <w:rPr>
                <w:rFonts w:ascii="Palatino Linotype" w:hAnsi="Palatino Linotype" w:cs="Arial"/>
              </w:rPr>
            </w:pPr>
            <w:r w:rsidRPr="003A3684">
              <w:rPr>
                <w:rFonts w:ascii="Palatino Linotype" w:hAnsi="Palatino Linotype" w:cs="Arial"/>
                <w:b/>
              </w:rPr>
              <w:t>Date</w:t>
            </w:r>
            <w:r w:rsidRPr="003A3684">
              <w:rPr>
                <w:rFonts w:ascii="Palatino Linotype" w:hAnsi="Palatino Linotype" w:cs="Arial"/>
              </w:rPr>
              <w:t xml:space="preserve">:  </w:t>
            </w:r>
            <w:r>
              <w:rPr>
                <w:rFonts w:ascii="Palatino Linotype" w:hAnsi="Palatino Linotype" w:cs="Arial"/>
              </w:rPr>
              <w:t>12/19/2012</w:t>
            </w:r>
            <w:r w:rsidR="00A779D8" w:rsidRPr="003A3684">
              <w:rPr>
                <w:rFonts w:ascii="Palatino Linotype" w:hAnsi="Palatino Linotype" w:cs="Arial"/>
              </w:rPr>
              <w:t xml:space="preserve">  </w:t>
            </w:r>
          </w:p>
          <w:p w:rsidR="001103E5" w:rsidRPr="003A3684" w:rsidRDefault="001103E5" w:rsidP="008B2618">
            <w:pPr>
              <w:contextualSpacing/>
              <w:rPr>
                <w:rFonts w:ascii="Palatino Linotype" w:hAnsi="Palatino Linotype" w:cs="Arial"/>
              </w:rPr>
            </w:pPr>
          </w:p>
        </w:tc>
      </w:tr>
      <w:tr w:rsidR="00C65D6E" w:rsidRPr="003A3684" w:rsidTr="00F47407">
        <w:trPr>
          <w:trHeight w:val="2112"/>
        </w:trPr>
        <w:tc>
          <w:tcPr>
            <w:tcW w:w="8550" w:type="dxa"/>
          </w:tcPr>
          <w:p w:rsidR="00A779D8" w:rsidRDefault="00A779D8" w:rsidP="00A779D8">
            <w:pPr>
              <w:contextualSpacing/>
              <w:rPr>
                <w:rFonts w:ascii="Palatino Linotype" w:hAnsi="Palatino Linotype" w:cs="Arial"/>
                <w:i/>
              </w:rPr>
            </w:pPr>
            <w:r>
              <w:rPr>
                <w:rFonts w:ascii="Palatino Linotype" w:hAnsi="Palatino Linotype" w:cs="Arial"/>
                <w:b/>
              </w:rPr>
              <w:t>Nancy Jan</w:t>
            </w:r>
            <w:r w:rsidR="00BB3578">
              <w:rPr>
                <w:rFonts w:ascii="Palatino Linotype" w:hAnsi="Palatino Linotype" w:cs="Arial"/>
                <w:b/>
              </w:rPr>
              <w:t>n</w:t>
            </w:r>
            <w:r>
              <w:rPr>
                <w:rFonts w:ascii="Palatino Linotype" w:hAnsi="Palatino Linotype" w:cs="Arial"/>
                <w:b/>
              </w:rPr>
              <w:t xml:space="preserve">ik, </w:t>
            </w:r>
            <w:r w:rsidR="00327DE0">
              <w:rPr>
                <w:rFonts w:ascii="Palatino Linotype" w:hAnsi="Palatino Linotype" w:cs="Arial"/>
                <w:b/>
              </w:rPr>
              <w:t xml:space="preserve">Interim </w:t>
            </w:r>
            <w:r w:rsidRPr="003A3684">
              <w:rPr>
                <w:rFonts w:ascii="Palatino Linotype" w:hAnsi="Palatino Linotype" w:cs="Arial"/>
                <w:b/>
              </w:rPr>
              <w:t>Provost</w:t>
            </w:r>
            <w:r>
              <w:rPr>
                <w:rFonts w:ascii="Palatino Linotype" w:hAnsi="Palatino Linotype" w:cs="Arial"/>
                <w:b/>
              </w:rPr>
              <w:t xml:space="preserve"> and </w:t>
            </w:r>
            <w:r w:rsidRPr="003A3684">
              <w:rPr>
                <w:rFonts w:ascii="Palatino Linotype" w:hAnsi="Palatino Linotype" w:cs="Arial"/>
                <w:b/>
              </w:rPr>
              <w:t>V</w:t>
            </w:r>
            <w:r>
              <w:rPr>
                <w:rFonts w:ascii="Palatino Linotype" w:hAnsi="Palatino Linotype" w:cs="Arial"/>
                <w:b/>
              </w:rPr>
              <w:t xml:space="preserve">ice </w:t>
            </w:r>
            <w:r w:rsidRPr="003A3684">
              <w:rPr>
                <w:rFonts w:ascii="Palatino Linotype" w:hAnsi="Palatino Linotype" w:cs="Arial"/>
                <w:b/>
              </w:rPr>
              <w:t>P</w:t>
            </w:r>
            <w:r>
              <w:rPr>
                <w:rFonts w:ascii="Palatino Linotype" w:hAnsi="Palatino Linotype" w:cs="Arial"/>
                <w:b/>
              </w:rPr>
              <w:t xml:space="preserve">resident for </w:t>
            </w:r>
            <w:r w:rsidRPr="003A3684">
              <w:rPr>
                <w:rFonts w:ascii="Palatino Linotype" w:hAnsi="Palatino Linotype" w:cs="Arial"/>
                <w:b/>
              </w:rPr>
              <w:t>Academic Affairs</w:t>
            </w:r>
            <w:r w:rsidRPr="003A3684">
              <w:rPr>
                <w:rFonts w:ascii="Palatino Linotype" w:hAnsi="Palatino Linotype" w:cs="Arial"/>
                <w:i/>
              </w:rPr>
              <w:t xml:space="preserve"> </w:t>
            </w:r>
          </w:p>
          <w:p w:rsidR="00A779D8" w:rsidRPr="003A3684" w:rsidRDefault="001103E5" w:rsidP="00A779D8">
            <w:pPr>
              <w:contextualSpacing/>
              <w:rPr>
                <w:rFonts w:ascii="Palatino Linotype" w:hAnsi="Palatino Linotype" w:cs="Arial"/>
                <w:b/>
              </w:rPr>
            </w:pPr>
            <w:r>
              <w:rPr>
                <w:rFonts w:ascii="Palatino Linotype" w:hAnsi="Palatino Linotype" w:cs="Arial"/>
                <w:i/>
              </w:rPr>
              <w:t xml:space="preserve">Winona </w:t>
            </w:r>
            <w:r w:rsidR="00A779D8" w:rsidRPr="003A3684">
              <w:rPr>
                <w:rFonts w:ascii="Palatino Linotype" w:hAnsi="Palatino Linotype" w:cs="Arial"/>
                <w:i/>
              </w:rPr>
              <w:t>State University</w:t>
            </w:r>
          </w:p>
          <w:p w:rsidR="00A779D8" w:rsidRDefault="00A779D8" w:rsidP="00A779D8">
            <w:pPr>
              <w:contextualSpacing/>
              <w:rPr>
                <w:rFonts w:ascii="Palatino Linotype" w:hAnsi="Palatino Linotype" w:cs="Arial"/>
                <w:b/>
              </w:rPr>
            </w:pPr>
          </w:p>
          <w:p w:rsidR="00756226" w:rsidRDefault="00756226" w:rsidP="00A779D8">
            <w:pPr>
              <w:contextualSpacing/>
              <w:rPr>
                <w:rFonts w:ascii="Palatino Linotype" w:hAnsi="Palatino Linotype" w:cs="Arial"/>
                <w:b/>
              </w:rPr>
            </w:pPr>
          </w:p>
          <w:p w:rsidR="006A1317" w:rsidRPr="006A1317" w:rsidRDefault="006A1317" w:rsidP="006A1317">
            <w:pPr>
              <w:contextualSpacing/>
              <w:rPr>
                <w:rFonts w:ascii="Palatino Linotype" w:hAnsi="Palatino Linotype" w:cs="Arial"/>
              </w:rPr>
            </w:pPr>
            <w:r w:rsidRPr="006A1317">
              <w:rPr>
                <w:rFonts w:ascii="Palatino Linotype" w:hAnsi="Palatino Linotype" w:cs="Arial"/>
              </w:rPr>
              <w:t>Electronic signature on file.</w:t>
            </w:r>
          </w:p>
          <w:p w:rsidR="006A1317" w:rsidRDefault="006A1317" w:rsidP="006A1317">
            <w:pPr>
              <w:contextualSpacing/>
              <w:rPr>
                <w:rFonts w:ascii="Palatino Linotype" w:hAnsi="Palatino Linotype" w:cs="Arial"/>
                <w:b/>
              </w:rPr>
            </w:pPr>
          </w:p>
          <w:p w:rsidR="00C65D6E" w:rsidRDefault="006A1317" w:rsidP="009F6D8E">
            <w:pPr>
              <w:contextualSpacing/>
              <w:rPr>
                <w:rFonts w:ascii="Palatino Linotype" w:hAnsi="Palatino Linotype" w:cs="Arial"/>
              </w:rPr>
            </w:pPr>
            <w:r w:rsidRPr="003A3684">
              <w:rPr>
                <w:rFonts w:ascii="Palatino Linotype" w:hAnsi="Palatino Linotype" w:cs="Arial"/>
                <w:b/>
              </w:rPr>
              <w:t>Date</w:t>
            </w:r>
            <w:r w:rsidRPr="003A3684">
              <w:rPr>
                <w:rFonts w:ascii="Palatino Linotype" w:hAnsi="Palatino Linotype" w:cs="Arial"/>
              </w:rPr>
              <w:t xml:space="preserve">:  </w:t>
            </w:r>
            <w:r>
              <w:rPr>
                <w:rFonts w:ascii="Palatino Linotype" w:hAnsi="Palatino Linotype" w:cs="Arial"/>
              </w:rPr>
              <w:t>12/</w:t>
            </w:r>
            <w:r>
              <w:rPr>
                <w:rFonts w:ascii="Palatino Linotype" w:hAnsi="Palatino Linotype" w:cs="Arial"/>
              </w:rPr>
              <w:t>21</w:t>
            </w:r>
            <w:r>
              <w:rPr>
                <w:rFonts w:ascii="Palatino Linotype" w:hAnsi="Palatino Linotype" w:cs="Arial"/>
              </w:rPr>
              <w:t>/2012</w:t>
            </w:r>
            <w:bookmarkStart w:id="0" w:name="_GoBack"/>
            <w:bookmarkEnd w:id="0"/>
            <w:r w:rsidR="00C65D6E" w:rsidRPr="003A3684">
              <w:rPr>
                <w:rFonts w:ascii="Palatino Linotype" w:hAnsi="Palatino Linotype" w:cs="Arial"/>
              </w:rPr>
              <w:t xml:space="preserve">   </w:t>
            </w:r>
          </w:p>
          <w:p w:rsidR="00756226" w:rsidRPr="003A3684" w:rsidRDefault="00756226" w:rsidP="009F6D8E">
            <w:pPr>
              <w:rPr>
                <w:rFonts w:ascii="Palatino Linotype" w:hAnsi="Palatino Linotype" w:cs="Arial"/>
              </w:rPr>
            </w:pPr>
          </w:p>
        </w:tc>
      </w:tr>
    </w:tbl>
    <w:p w:rsidR="00756226" w:rsidRDefault="00756226"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7E19E4" w:rsidRDefault="007E19E4" w:rsidP="00F8392A">
      <w:pPr>
        <w:widowControl w:val="0"/>
        <w:autoSpaceDE w:val="0"/>
        <w:autoSpaceDN w:val="0"/>
        <w:adjustRightInd w:val="0"/>
        <w:spacing w:line="394" w:lineRule="exact"/>
        <w:rPr>
          <w:rFonts w:ascii="Palatino Linotype" w:hAnsi="Palatino Linotype"/>
        </w:rPr>
      </w:pPr>
    </w:p>
    <w:p w:rsidR="00C85D36" w:rsidRDefault="00C85D36" w:rsidP="00F8392A">
      <w:pPr>
        <w:widowControl w:val="0"/>
        <w:autoSpaceDE w:val="0"/>
        <w:autoSpaceDN w:val="0"/>
        <w:adjustRightInd w:val="0"/>
        <w:spacing w:line="394" w:lineRule="exact"/>
        <w:rPr>
          <w:rFonts w:ascii="Palatino Linotype" w:hAnsi="Palatino Linotype"/>
        </w:rPr>
      </w:pPr>
    </w:p>
    <w:p w:rsidR="00C85D36" w:rsidRPr="00C85D36" w:rsidRDefault="00C85D36" w:rsidP="00FE5391">
      <w:pPr>
        <w:spacing w:after="120"/>
        <w:ind w:firstLine="720"/>
        <w:jc w:val="center"/>
        <w:rPr>
          <w:rFonts w:ascii="Palatino Linotype" w:hAnsi="Palatino Linotype" w:cs="Arial"/>
          <w:bCs/>
          <w:iCs/>
          <w:sz w:val="20"/>
          <w:szCs w:val="20"/>
        </w:rPr>
      </w:pPr>
      <w:r w:rsidRPr="00B33F08">
        <w:rPr>
          <w:rFonts w:ascii="Palatino Linotype" w:hAnsi="Palatino Linotype" w:cs="Arial"/>
          <w:b/>
          <w:bCs/>
          <w:iCs/>
          <w:sz w:val="24"/>
          <w:szCs w:val="24"/>
        </w:rPr>
        <w:t>Engineering Core &amp; Elective Course Descriptions</w:t>
      </w:r>
    </w:p>
    <w:p w:rsidR="00C85D36" w:rsidRPr="00C85D36" w:rsidRDefault="00C85D36" w:rsidP="00701621">
      <w:pPr>
        <w:autoSpaceDE w:val="0"/>
        <w:autoSpaceDN w:val="0"/>
        <w:adjustRightInd w:val="0"/>
        <w:spacing w:after="120"/>
        <w:rPr>
          <w:rFonts w:ascii="Palatino Linotype" w:hAnsi="Palatino Linotype" w:cs="Arial"/>
          <w:bCs/>
          <w:iCs/>
          <w:sz w:val="20"/>
          <w:szCs w:val="20"/>
        </w:rPr>
      </w:pPr>
      <w:r w:rsidRPr="00B33F08">
        <w:rPr>
          <w:rFonts w:ascii="Palatino Linotype" w:hAnsi="Palatino Linotype" w:cs="Arial"/>
          <w:b/>
          <w:bCs/>
          <w:iCs/>
          <w:sz w:val="20"/>
          <w:szCs w:val="20"/>
        </w:rPr>
        <w:t>Intro</w:t>
      </w:r>
      <w:r w:rsidR="008132C7">
        <w:rPr>
          <w:rFonts w:ascii="Palatino Linotype" w:hAnsi="Palatino Linotype" w:cs="Arial"/>
          <w:b/>
          <w:bCs/>
          <w:iCs/>
          <w:sz w:val="20"/>
          <w:szCs w:val="20"/>
        </w:rPr>
        <w:t>duction</w:t>
      </w:r>
      <w:r w:rsidRPr="00B33F08">
        <w:rPr>
          <w:rFonts w:ascii="Palatino Linotype" w:hAnsi="Palatino Linotype" w:cs="Arial"/>
          <w:b/>
          <w:bCs/>
          <w:iCs/>
          <w:sz w:val="20"/>
          <w:szCs w:val="20"/>
        </w:rPr>
        <w:t xml:space="preserve"> to Engineering</w:t>
      </w:r>
      <w:r w:rsidRPr="00C85D36">
        <w:rPr>
          <w:rFonts w:ascii="Palatino Linotype" w:hAnsi="Palatino Linotype" w:cs="Arial"/>
          <w:bCs/>
          <w:iCs/>
          <w:sz w:val="20"/>
          <w:szCs w:val="20"/>
        </w:rPr>
        <w:t>.</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 xml:space="preserve">Overview of engineering fundamentals and various engineering disciplines (mechanical, electrical, civil, chemical, manufacturing and/or composite materials engineering).  Extensive exposure to visual, written and oral communication forms and to computer-based design tools. </w:t>
      </w:r>
    </w:p>
    <w:p w:rsidR="00C85D36" w:rsidRPr="00C85D36" w:rsidRDefault="00C85D36" w:rsidP="00701621">
      <w:pPr>
        <w:spacing w:before="120" w:after="120"/>
        <w:ind w:right="-360"/>
        <w:rPr>
          <w:rFonts w:ascii="Palatino Linotype" w:hAnsi="Palatino Linotype" w:cs="Arial"/>
          <w:sz w:val="20"/>
          <w:szCs w:val="20"/>
        </w:rPr>
      </w:pPr>
      <w:r w:rsidRPr="00B33F08">
        <w:rPr>
          <w:rFonts w:ascii="Palatino Linotype" w:hAnsi="Palatino Linotype" w:cs="Arial"/>
          <w:b/>
          <w:bCs/>
          <w:iCs/>
          <w:sz w:val="20"/>
          <w:szCs w:val="20"/>
        </w:rPr>
        <w:t>Calculus I.</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 xml:space="preserve">This course is a thorough treatment of differentiation and an introduction to integration.  Topics include the definition of derivative, limits and continuity, differentiation, applications of the derivative, </w:t>
      </w:r>
      <w:r w:rsidRPr="00C85D36">
        <w:rPr>
          <w:rFonts w:ascii="Palatino Linotype" w:hAnsi="Palatino Linotype" w:cs="Arial"/>
          <w:bCs/>
          <w:iCs/>
          <w:sz w:val="20"/>
          <w:szCs w:val="20"/>
        </w:rPr>
        <w:lastRenderedPageBreak/>
        <w:t>definite and indefinite integrals, the Fundamental Theorem of Calculus, techniques of integration and applications of integration.</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(NH)</w:t>
      </w:r>
      <w:r w:rsidRPr="00C85D36">
        <w:rPr>
          <w:rFonts w:ascii="Palatino Linotype" w:hAnsi="Palatino Linotype" w:cs="Arial"/>
          <w:sz w:val="20"/>
          <w:szCs w:val="20"/>
        </w:rPr>
        <w:t xml:space="preserve"> </w:t>
      </w:r>
    </w:p>
    <w:p w:rsidR="00C85D36" w:rsidRPr="00C85D36" w:rsidRDefault="00C85D36" w:rsidP="00701621">
      <w:pPr>
        <w:autoSpaceDE w:val="0"/>
        <w:autoSpaceDN w:val="0"/>
        <w:adjustRightInd w:val="0"/>
        <w:spacing w:after="120"/>
        <w:rPr>
          <w:rFonts w:ascii="Palatino Linotype" w:hAnsi="Palatino Linotype" w:cs="Arial"/>
          <w:bCs/>
          <w:iCs/>
          <w:sz w:val="20"/>
          <w:szCs w:val="20"/>
        </w:rPr>
      </w:pPr>
      <w:r w:rsidRPr="00B33F08">
        <w:rPr>
          <w:rFonts w:ascii="Palatino Linotype" w:hAnsi="Palatino Linotype" w:cs="Arial"/>
          <w:b/>
          <w:bCs/>
          <w:iCs/>
          <w:sz w:val="20"/>
          <w:szCs w:val="20"/>
        </w:rPr>
        <w:t>Calculus II</w:t>
      </w:r>
      <w:r w:rsidRPr="00B33F08">
        <w:rPr>
          <w:rFonts w:ascii="Palatino Linotype" w:hAnsi="Palatino Linotype" w:cs="Arial"/>
          <w:b/>
          <w:sz w:val="20"/>
          <w:szCs w:val="20"/>
        </w:rPr>
        <w:t>.</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This course continues the study of the definite and indefinite integrals and leads to a study of improper integrals and infinite series.  Topics include advanced techniques of anti-differentiation, numerical integration techniques and error bounding, applications of the integral, improper integrals, an introduction to differential equations, infinite series, parametric equations, and polar coordinates. (NH)</w:t>
      </w:r>
    </w:p>
    <w:p w:rsidR="00C85D36" w:rsidRPr="00C85D36" w:rsidRDefault="00C85D36" w:rsidP="00701621">
      <w:pPr>
        <w:spacing w:before="120" w:after="120"/>
        <w:ind w:right="-360"/>
        <w:rPr>
          <w:rFonts w:ascii="Palatino Linotype" w:hAnsi="Palatino Linotype" w:cs="Arial"/>
          <w:bCs/>
          <w:iCs/>
          <w:sz w:val="20"/>
          <w:szCs w:val="20"/>
        </w:rPr>
      </w:pPr>
      <w:r w:rsidRPr="00B33F08">
        <w:rPr>
          <w:rFonts w:ascii="Palatino Linotype" w:hAnsi="Palatino Linotype" w:cs="Arial"/>
          <w:b/>
          <w:bCs/>
          <w:iCs/>
          <w:sz w:val="20"/>
          <w:szCs w:val="20"/>
        </w:rPr>
        <w:t>Multivariable Calculus.</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Multivariable functions and vector functions are studied as the concepts of differential and integral calculus are generalized to surfaces and higher dimensions. Topics include vectors, parametric equations, cylindrical and spherical coordinates, partial and directional derivatives, multiple integrals, line and surface integrals, and the theorems of Green, Gauss, and Stokes.</w:t>
      </w:r>
    </w:p>
    <w:p w:rsidR="00C85D36" w:rsidRPr="00C85D36" w:rsidRDefault="00C85D36" w:rsidP="00701621">
      <w:pPr>
        <w:spacing w:before="120" w:after="120"/>
        <w:ind w:right="-360"/>
        <w:rPr>
          <w:rFonts w:ascii="Palatino Linotype" w:hAnsi="Palatino Linotype" w:cs="Arial"/>
          <w:bCs/>
          <w:iCs/>
          <w:sz w:val="20"/>
          <w:szCs w:val="20"/>
        </w:rPr>
      </w:pPr>
      <w:r w:rsidRPr="00B33F08">
        <w:rPr>
          <w:rFonts w:ascii="Palatino Linotype" w:hAnsi="Palatino Linotype" w:cs="Arial"/>
          <w:b/>
          <w:bCs/>
          <w:iCs/>
          <w:sz w:val="20"/>
          <w:szCs w:val="20"/>
        </w:rPr>
        <w:t>Differential Equations.</w:t>
      </w:r>
      <w:r w:rsidRPr="00C85D36">
        <w:rPr>
          <w:rFonts w:ascii="Palatino Linotype" w:hAnsi="Palatino Linotype" w:cs="Arial"/>
          <w:bCs/>
          <w:iCs/>
          <w:sz w:val="20"/>
          <w:szCs w:val="20"/>
        </w:rPr>
        <w:t xml:space="preserve">  Solution techniques for ordinary differential equations including boundary/initial value problems and systems of first-order equations. Topics include linear homogeneous and non-homogeneous differential equations and the Laplace transform. Methods of linear algebra are studied as they apply to the solution of differential equations.</w:t>
      </w:r>
    </w:p>
    <w:p w:rsidR="00C85D36" w:rsidRPr="00C85D36" w:rsidRDefault="00C85D36" w:rsidP="00A6535C">
      <w:pPr>
        <w:spacing w:before="120" w:after="120" w:line="240" w:lineRule="auto"/>
        <w:ind w:right="-360"/>
        <w:rPr>
          <w:rFonts w:ascii="Palatino Linotype" w:hAnsi="Palatino Linotype" w:cs="Arial"/>
          <w:bCs/>
          <w:iCs/>
          <w:sz w:val="20"/>
          <w:szCs w:val="20"/>
        </w:rPr>
      </w:pPr>
      <w:r w:rsidRPr="00B33F08">
        <w:rPr>
          <w:rFonts w:ascii="Palatino Linotype" w:hAnsi="Palatino Linotype" w:cs="Arial"/>
          <w:b/>
          <w:bCs/>
          <w:iCs/>
          <w:sz w:val="20"/>
          <w:szCs w:val="20"/>
        </w:rPr>
        <w:t>Physics I (calculus-based, with lab)</w:t>
      </w:r>
      <w:r w:rsidRPr="00B33F08">
        <w:rPr>
          <w:rFonts w:ascii="Palatino Linotype" w:hAnsi="Palatino Linotype" w:cs="Arial"/>
          <w:b/>
          <w:sz w:val="20"/>
          <w:szCs w:val="20"/>
        </w:rPr>
        <w:t xml:space="preserve">. </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Designed for science and engineering students.  Caculus-based physics. Covers elementary mechanics including kinematics, statics, equilibrium and dynamics of particles, work and energy, rotational motion, gravitation, and oscillation. Lecture and laboratory.</w:t>
      </w:r>
    </w:p>
    <w:p w:rsidR="00C85D36" w:rsidRPr="00C85D36" w:rsidRDefault="00C85D36" w:rsidP="00C85D36">
      <w:pPr>
        <w:spacing w:before="240"/>
        <w:ind w:right="-360"/>
        <w:rPr>
          <w:rFonts w:ascii="Palatino Linotype" w:hAnsi="Palatino Linotype" w:cs="Arial"/>
          <w:bCs/>
          <w:iCs/>
          <w:sz w:val="20"/>
          <w:szCs w:val="20"/>
        </w:rPr>
      </w:pPr>
      <w:r w:rsidRPr="00B33F08">
        <w:rPr>
          <w:rFonts w:ascii="Palatino Linotype" w:hAnsi="Palatino Linotype" w:cs="Arial"/>
          <w:b/>
          <w:bCs/>
          <w:iCs/>
          <w:sz w:val="20"/>
          <w:szCs w:val="20"/>
        </w:rPr>
        <w:t>Physics II (calculus-based, with lab).</w:t>
      </w:r>
      <w:r w:rsidRPr="00C85D36">
        <w:rPr>
          <w:rFonts w:ascii="Palatino Linotype" w:hAnsi="Palatino Linotype" w:cs="Arial"/>
          <w:bCs/>
          <w:iCs/>
          <w:sz w:val="20"/>
          <w:szCs w:val="20"/>
        </w:rPr>
        <w:t xml:space="preserve">  A continuation of Physics I.  Principles of thermodynamics, electricity and magnetism, light and modern physics. Lecture and laboratory.</w:t>
      </w:r>
    </w:p>
    <w:p w:rsidR="00C85D36" w:rsidRPr="00C85D36" w:rsidRDefault="00C85D36" w:rsidP="00A6535C">
      <w:pPr>
        <w:autoSpaceDE w:val="0"/>
        <w:autoSpaceDN w:val="0"/>
        <w:adjustRightInd w:val="0"/>
        <w:spacing w:before="120" w:after="120"/>
        <w:rPr>
          <w:rFonts w:ascii="Palatino Linotype" w:hAnsi="Palatino Linotype" w:cs="Arial"/>
          <w:bCs/>
          <w:iCs/>
          <w:sz w:val="20"/>
          <w:szCs w:val="20"/>
        </w:rPr>
      </w:pPr>
      <w:r w:rsidRPr="00B33F08">
        <w:rPr>
          <w:rFonts w:ascii="Palatino Linotype" w:hAnsi="Palatino Linotype" w:cs="Arial"/>
          <w:b/>
          <w:bCs/>
          <w:iCs/>
          <w:sz w:val="20"/>
          <w:szCs w:val="20"/>
        </w:rPr>
        <w:t>Chemistry I</w:t>
      </w:r>
      <w:r w:rsidRPr="00B33F08">
        <w:rPr>
          <w:rFonts w:ascii="Palatino Linotype" w:hAnsi="Palatino Linotype" w:cs="Arial"/>
          <w:b/>
          <w:sz w:val="20"/>
          <w:szCs w:val="20"/>
        </w:rPr>
        <w:t>.</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Introduction to the basic principles of chemistry including atomic and molecular structure, bonding, chemical reactions, stoichiometry, thermodynamics and states of matter. Laboratory will reinforce lecture concepts.</w:t>
      </w:r>
    </w:p>
    <w:p w:rsidR="00C85D36" w:rsidRPr="00C85D36" w:rsidRDefault="00C85D36" w:rsidP="00A6535C">
      <w:pPr>
        <w:spacing w:before="120" w:after="120"/>
        <w:ind w:right="-360"/>
        <w:rPr>
          <w:rFonts w:ascii="Palatino Linotype" w:hAnsi="Palatino Linotype" w:cs="Arial"/>
          <w:bCs/>
          <w:iCs/>
          <w:sz w:val="20"/>
          <w:szCs w:val="20"/>
        </w:rPr>
      </w:pPr>
      <w:r w:rsidRPr="00B33F08">
        <w:rPr>
          <w:rFonts w:ascii="Palatino Linotype" w:hAnsi="Palatino Linotype" w:cs="Arial"/>
          <w:b/>
          <w:bCs/>
          <w:iCs/>
          <w:sz w:val="20"/>
          <w:szCs w:val="20"/>
        </w:rPr>
        <w:t>Computer Programming.</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A lecture-laboratory course. Formulate an overall solution algorithm and solve engineering and scientific problems utilizing spreadsheets, programming language(s), and mathematical software. Topics include engineering and scientific problems that employ statistics, algebra, calculus, linear algebra, optimization, and image processing in their solutions. Use of computers as a mean for technical communication is stressed.</w:t>
      </w:r>
    </w:p>
    <w:p w:rsidR="00A6535C" w:rsidRDefault="00A6535C" w:rsidP="00A6535C">
      <w:pPr>
        <w:spacing w:before="120" w:after="120"/>
        <w:ind w:right="-360"/>
        <w:rPr>
          <w:rFonts w:ascii="Palatino Linotype" w:hAnsi="Palatino Linotype" w:cs="Arial"/>
          <w:bCs/>
          <w:iCs/>
          <w:sz w:val="20"/>
          <w:szCs w:val="20"/>
        </w:rPr>
      </w:pPr>
      <w:r w:rsidRPr="00B33F08">
        <w:rPr>
          <w:rFonts w:ascii="Palatino Linotype" w:hAnsi="Palatino Linotype" w:cs="Arial"/>
          <w:b/>
          <w:bCs/>
          <w:iCs/>
          <w:sz w:val="20"/>
          <w:szCs w:val="20"/>
        </w:rPr>
        <w:t>Statics.</w:t>
      </w:r>
      <w:r w:rsidRPr="00C85D36">
        <w:rPr>
          <w:rFonts w:ascii="Palatino Linotype" w:hAnsi="Palatino Linotype" w:cs="Arial"/>
          <w:bCs/>
          <w:iCs/>
          <w:sz w:val="20"/>
          <w:szCs w:val="20"/>
        </w:rPr>
        <w:t xml:space="preserve">  Application of equilibrium equations to analyze simple engineering structures and machines, including the nature and influence of friction. Elementary theory of statically determinate framed structures. </w:t>
      </w:r>
    </w:p>
    <w:p w:rsidR="00A6535C" w:rsidRPr="00C85D36" w:rsidRDefault="00A6535C" w:rsidP="00A6535C">
      <w:pPr>
        <w:spacing w:before="120" w:after="120"/>
        <w:ind w:right="-360"/>
        <w:rPr>
          <w:rFonts w:ascii="Palatino Linotype" w:hAnsi="Palatino Linotype" w:cs="Arial"/>
          <w:bCs/>
          <w:iCs/>
          <w:sz w:val="20"/>
          <w:szCs w:val="20"/>
        </w:rPr>
      </w:pPr>
      <w:r w:rsidRPr="00C85D36">
        <w:rPr>
          <w:rFonts w:ascii="Palatino Linotype" w:hAnsi="Palatino Linotype" w:cs="Arial"/>
          <w:bCs/>
          <w:iCs/>
          <w:sz w:val="20"/>
          <w:szCs w:val="20"/>
        </w:rPr>
        <w:t xml:space="preserve">Mechanical systems and rigid body model. Equilibrium, kinematics, and dynamics of plane systems.  Designed to develop the ability to analyze and solve engineering problems. </w:t>
      </w:r>
    </w:p>
    <w:p w:rsidR="00C85D36" w:rsidRPr="00C85D36" w:rsidRDefault="00C85D36" w:rsidP="00A6535C">
      <w:pPr>
        <w:pStyle w:val="coursedescriptions"/>
        <w:spacing w:before="120"/>
        <w:rPr>
          <w:rFonts w:ascii="Palatino Linotype" w:eastAsiaTheme="minorEastAsia" w:hAnsi="Palatino Linotype" w:cs="Arial"/>
          <w:bCs/>
          <w:iCs/>
          <w:sz w:val="20"/>
          <w:szCs w:val="20"/>
        </w:rPr>
      </w:pPr>
      <w:r w:rsidRPr="00B33F08">
        <w:rPr>
          <w:rFonts w:ascii="Palatino Linotype" w:eastAsiaTheme="minorEastAsia" w:hAnsi="Palatino Linotype" w:cs="Arial"/>
          <w:b/>
          <w:bCs/>
          <w:iCs/>
          <w:sz w:val="20"/>
          <w:szCs w:val="20"/>
        </w:rPr>
        <w:t>Dynamics.</w:t>
      </w:r>
      <w:r w:rsidRPr="00C85D36">
        <w:rPr>
          <w:rFonts w:ascii="Palatino Linotype" w:eastAsiaTheme="minorEastAsia" w:hAnsi="Palatino Linotype" w:cs="Arial"/>
          <w:bCs/>
          <w:iCs/>
          <w:sz w:val="20"/>
          <w:szCs w:val="20"/>
        </w:rPr>
        <w:t xml:space="preserve"> </w:t>
      </w:r>
      <w:r w:rsidRPr="00C85D36">
        <w:rPr>
          <w:rFonts w:ascii="Palatino Linotype" w:eastAsiaTheme="minorEastAsia" w:hAnsi="Palatino Linotype" w:cs="Arial"/>
          <w:color w:val="auto"/>
          <w:sz w:val="20"/>
          <w:szCs w:val="20"/>
        </w:rPr>
        <w:t xml:space="preserve"> </w:t>
      </w:r>
      <w:r w:rsidRPr="00C85D36">
        <w:rPr>
          <w:rFonts w:ascii="Palatino Linotype" w:eastAsiaTheme="minorEastAsia" w:hAnsi="Palatino Linotype" w:cs="Arial"/>
          <w:bCs/>
          <w:iCs/>
          <w:sz w:val="20"/>
          <w:szCs w:val="20"/>
        </w:rPr>
        <w:t>Kinematics: translation, rotational, plane motion and relative motion of particles and rigid bodies. Planar kinematics of rigid bodies. Kinetics of particles and rigid bodies by methods of force-mass-acceleration, work energy, impulse and momentum, introduction to vibrations.</w:t>
      </w:r>
    </w:p>
    <w:p w:rsidR="00C85D36" w:rsidRPr="00C85D36" w:rsidRDefault="00C85D36" w:rsidP="00A6535C">
      <w:pPr>
        <w:spacing w:before="120"/>
        <w:ind w:right="-360"/>
        <w:rPr>
          <w:rFonts w:ascii="Palatino Linotype" w:hAnsi="Palatino Linotype" w:cs="Arial"/>
          <w:sz w:val="20"/>
          <w:szCs w:val="20"/>
        </w:rPr>
      </w:pPr>
      <w:r w:rsidRPr="00B33F08">
        <w:rPr>
          <w:rFonts w:ascii="Palatino Linotype" w:hAnsi="Palatino Linotype" w:cs="Arial"/>
          <w:b/>
          <w:bCs/>
          <w:iCs/>
          <w:sz w:val="20"/>
          <w:szCs w:val="20"/>
        </w:rPr>
        <w:t>Deformable Body Mechanics.</w:t>
      </w:r>
      <w:r w:rsidRPr="00C85D36">
        <w:rPr>
          <w:rFonts w:ascii="Palatino Linotype" w:hAnsi="Palatino Linotype" w:cs="Arial"/>
          <w:bCs/>
          <w:iCs/>
          <w:sz w:val="20"/>
          <w:szCs w:val="20"/>
        </w:rPr>
        <w:t xml:space="preserve">  This course is an introduction to the linear stress-strain behavior of engineering materials. Topics will include stresses due to uniaxial loading, bending and torsion; stress transformations, beam deflections, indeterminate structures and column buckling.</w:t>
      </w:r>
    </w:p>
    <w:p w:rsidR="00C85D36" w:rsidRPr="00C85D36" w:rsidRDefault="00C85D36" w:rsidP="00A6535C">
      <w:pPr>
        <w:spacing w:before="120" w:after="120"/>
        <w:ind w:right="-360"/>
        <w:rPr>
          <w:rFonts w:ascii="Palatino Linotype" w:hAnsi="Palatino Linotype" w:cs="Arial"/>
          <w:bCs/>
          <w:iCs/>
          <w:sz w:val="20"/>
          <w:szCs w:val="20"/>
        </w:rPr>
      </w:pPr>
      <w:r w:rsidRPr="00B33F08">
        <w:rPr>
          <w:rFonts w:ascii="Palatino Linotype" w:hAnsi="Palatino Linotype" w:cs="Arial"/>
          <w:b/>
          <w:bCs/>
          <w:iCs/>
          <w:sz w:val="20"/>
          <w:szCs w:val="20"/>
        </w:rPr>
        <w:lastRenderedPageBreak/>
        <w:t>Thermodynamics.</w:t>
      </w:r>
      <w:r w:rsidRPr="00C85D36">
        <w:rPr>
          <w:rFonts w:ascii="Palatino Linotype" w:hAnsi="Palatino Linotype" w:cs="Arial"/>
          <w:bCs/>
          <w:iCs/>
          <w:sz w:val="20"/>
          <w:szCs w:val="20"/>
        </w:rPr>
        <w:t xml:space="preserve"> </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Basic concepts, First and Second Law of Thermodynamics, properties and phase changes of pure substances, ideal gases, energy analysis of closed and open systems, enthalpy, entropy, reversibility, and Carnot and gas power cycles.</w:t>
      </w:r>
    </w:p>
    <w:p w:rsidR="00C85D36" w:rsidRPr="00C85D36" w:rsidRDefault="00C85D36" w:rsidP="00A6535C">
      <w:pPr>
        <w:spacing w:before="120" w:after="40"/>
        <w:ind w:right="-360"/>
        <w:rPr>
          <w:rFonts w:ascii="Palatino Linotype" w:hAnsi="Palatino Linotype" w:cs="Arial"/>
          <w:bCs/>
          <w:iCs/>
          <w:sz w:val="20"/>
          <w:szCs w:val="20"/>
        </w:rPr>
      </w:pPr>
      <w:r w:rsidRPr="00B33F08">
        <w:rPr>
          <w:rFonts w:ascii="Palatino Linotype" w:hAnsi="Palatino Linotype" w:cs="Arial"/>
          <w:b/>
          <w:bCs/>
          <w:iCs/>
          <w:sz w:val="20"/>
          <w:szCs w:val="20"/>
        </w:rPr>
        <w:t>Circuits I (with lab).</w:t>
      </w:r>
      <w:r w:rsidRPr="00C85D36">
        <w:rPr>
          <w:rFonts w:ascii="Palatino Linotype" w:hAnsi="Palatino Linotype" w:cs="Arial"/>
          <w:bCs/>
          <w:iCs/>
          <w:sz w:val="20"/>
          <w:szCs w:val="20"/>
        </w:rPr>
        <w:t xml:space="preserve"> </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Physical principles underlying circuit element models. Resistive circuits, Kirchhoff's laws, independent and dependent sources, node-voltage and mesh-current methods, op-amps, inductors, and capacitors. First- and second-order circuits. Diodes, BJTs, FETs, and elementary amplifiers. Experiments with simple circuits and electronics. Familiarization with measurement tools and equipment.</w:t>
      </w:r>
    </w:p>
    <w:p w:rsidR="00C85D36" w:rsidRPr="00C85D36" w:rsidRDefault="00C85D36" w:rsidP="00A6535C">
      <w:pPr>
        <w:pStyle w:val="coursedescriptions"/>
        <w:spacing w:before="120"/>
        <w:rPr>
          <w:rFonts w:ascii="Palatino Linotype" w:eastAsiaTheme="minorEastAsia" w:hAnsi="Palatino Linotype" w:cs="Arial"/>
          <w:bCs/>
          <w:iCs/>
          <w:sz w:val="20"/>
          <w:szCs w:val="20"/>
        </w:rPr>
      </w:pPr>
      <w:r w:rsidRPr="00B33F08">
        <w:rPr>
          <w:rFonts w:ascii="Palatino Linotype" w:eastAsiaTheme="minorEastAsia" w:hAnsi="Palatino Linotype" w:cs="Arial"/>
          <w:b/>
          <w:bCs/>
          <w:iCs/>
          <w:sz w:val="20"/>
          <w:szCs w:val="20"/>
        </w:rPr>
        <w:t>Circuits II.</w:t>
      </w:r>
      <w:r w:rsidRPr="00C85D36">
        <w:rPr>
          <w:rFonts w:ascii="Palatino Linotype" w:eastAsiaTheme="minorEastAsia" w:hAnsi="Palatino Linotype" w:cs="Arial"/>
          <w:bCs/>
          <w:iCs/>
          <w:sz w:val="20"/>
          <w:szCs w:val="20"/>
        </w:rPr>
        <w:t xml:space="preserve">  Elements of signal and linear system analysis. Sinusoidal steady state analysis, Laplace transforms, two-port circuits, frequency selective circuits, active filter circuits, single stage transistor amplifier frequency response of BJT and FET amplifiers.</w:t>
      </w:r>
    </w:p>
    <w:p w:rsidR="00C85D36" w:rsidRPr="00C85D36" w:rsidRDefault="00C85D36" w:rsidP="00A6535C">
      <w:pPr>
        <w:spacing w:before="120" w:after="40"/>
        <w:ind w:right="-360"/>
        <w:rPr>
          <w:rFonts w:ascii="Palatino Linotype" w:hAnsi="Palatino Linotype" w:cs="Arial"/>
          <w:bCs/>
          <w:iCs/>
          <w:sz w:val="20"/>
          <w:szCs w:val="20"/>
        </w:rPr>
      </w:pPr>
      <w:r w:rsidRPr="00B33F08">
        <w:rPr>
          <w:rFonts w:ascii="Palatino Linotype" w:hAnsi="Palatino Linotype" w:cs="Arial"/>
          <w:b/>
          <w:bCs/>
          <w:iCs/>
          <w:sz w:val="20"/>
          <w:szCs w:val="20"/>
        </w:rPr>
        <w:t>Digital Logic.</w:t>
      </w:r>
      <w:r w:rsidRPr="00C85D36">
        <w:rPr>
          <w:rFonts w:ascii="Palatino Linotype" w:hAnsi="Palatino Linotype" w:cs="Arial"/>
          <w:bCs/>
          <w:iCs/>
          <w:sz w:val="20"/>
          <w:szCs w:val="20"/>
        </w:rPr>
        <w:t xml:space="preserve">  This is the first half of an introduction to digital logic. It is recommended for mechanical, aerospace, computer and electrical engineering students. Topics include Boolean algebra, logic gates, Karnaugh mapping and analysis of combinational circuits. </w:t>
      </w:r>
    </w:p>
    <w:p w:rsidR="00C85D36" w:rsidRPr="00C85D36" w:rsidRDefault="00C85D36" w:rsidP="00A6535C">
      <w:pPr>
        <w:spacing w:before="120" w:after="40"/>
        <w:ind w:right="-360"/>
        <w:rPr>
          <w:rFonts w:ascii="Palatino Linotype" w:hAnsi="Palatino Linotype" w:cs="Arial"/>
          <w:bCs/>
          <w:iCs/>
          <w:sz w:val="20"/>
          <w:szCs w:val="20"/>
        </w:rPr>
      </w:pPr>
      <w:r w:rsidRPr="00B33F08">
        <w:rPr>
          <w:rFonts w:ascii="Palatino Linotype" w:hAnsi="Palatino Linotype" w:cs="Arial"/>
          <w:b/>
          <w:bCs/>
          <w:iCs/>
          <w:sz w:val="20"/>
          <w:szCs w:val="20"/>
        </w:rPr>
        <w:t>Probability &amp; Statistics.</w:t>
      </w:r>
      <w:r w:rsidRPr="00C85D36">
        <w:rPr>
          <w:rFonts w:ascii="Palatino Linotype" w:hAnsi="Palatino Linotype" w:cs="Arial"/>
          <w:bCs/>
          <w:iCs/>
          <w:sz w:val="20"/>
          <w:szCs w:val="20"/>
        </w:rPr>
        <w:t xml:space="preserve">  Introduction to basic ideas and fundamental laws of probability. Topics include an introduction to combinatorics, probability axioms, conditional probability, discrete random variables, common discrete distributions, expectation, generating functions, limit theorems, and continuous random variables. </w:t>
      </w:r>
    </w:p>
    <w:p w:rsidR="00C85D36" w:rsidRPr="00C85D36" w:rsidRDefault="00C85D36" w:rsidP="00A6535C">
      <w:pPr>
        <w:autoSpaceDE w:val="0"/>
        <w:autoSpaceDN w:val="0"/>
        <w:adjustRightInd w:val="0"/>
        <w:spacing w:before="120"/>
        <w:rPr>
          <w:rFonts w:ascii="Palatino Linotype" w:hAnsi="Palatino Linotype" w:cs="Arial"/>
          <w:bCs/>
          <w:iCs/>
          <w:sz w:val="20"/>
          <w:szCs w:val="20"/>
        </w:rPr>
      </w:pPr>
      <w:r w:rsidRPr="00B33F08">
        <w:rPr>
          <w:rFonts w:ascii="Palatino Linotype" w:hAnsi="Palatino Linotype" w:cs="Arial"/>
          <w:b/>
          <w:bCs/>
          <w:iCs/>
          <w:sz w:val="20"/>
          <w:szCs w:val="20"/>
        </w:rPr>
        <w:t>Chemistry II</w:t>
      </w:r>
      <w:r w:rsidRPr="00B33F08">
        <w:rPr>
          <w:rFonts w:ascii="Palatino Linotype" w:hAnsi="Palatino Linotype" w:cs="Arial"/>
          <w:b/>
          <w:sz w:val="20"/>
          <w:szCs w:val="20"/>
        </w:rPr>
        <w:t>.</w:t>
      </w:r>
      <w:r w:rsidRPr="00C85D36">
        <w:rPr>
          <w:rFonts w:ascii="Palatino Linotype" w:hAnsi="Palatino Linotype" w:cs="Arial"/>
          <w:sz w:val="20"/>
          <w:szCs w:val="20"/>
        </w:rPr>
        <w:t xml:space="preserve">  </w:t>
      </w:r>
      <w:r w:rsidRPr="00C85D36">
        <w:rPr>
          <w:rFonts w:ascii="Palatino Linotype" w:hAnsi="Palatino Linotype" w:cs="Arial"/>
          <w:bCs/>
          <w:iCs/>
          <w:sz w:val="20"/>
          <w:szCs w:val="20"/>
        </w:rPr>
        <w:t>An in-depth study of the principles of chemistry including atomic structure, the chemical bond, solutions, thermodynamics, kinetics, acid-base theory, oxidation-reduction, complex ion equilibrium, and electrochemistry. Organic and inorganic examples are used when appropriate throughout the courses, and a short unit on organic chemistry is included. Laboratory and lecture are coordinated.</w:t>
      </w:r>
    </w:p>
    <w:p w:rsidR="00C85D36" w:rsidRPr="00C85D36" w:rsidRDefault="00C85D36" w:rsidP="00A6535C">
      <w:pPr>
        <w:spacing w:before="120" w:after="40"/>
        <w:ind w:right="-360"/>
        <w:rPr>
          <w:rFonts w:ascii="Palatino Linotype" w:hAnsi="Palatino Linotype" w:cs="Arial"/>
          <w:sz w:val="20"/>
          <w:szCs w:val="20"/>
        </w:rPr>
      </w:pPr>
      <w:r w:rsidRPr="00B33F08">
        <w:rPr>
          <w:rFonts w:ascii="Palatino Linotype" w:hAnsi="Palatino Linotype" w:cs="Arial"/>
          <w:b/>
          <w:bCs/>
          <w:iCs/>
          <w:sz w:val="20"/>
          <w:szCs w:val="20"/>
        </w:rPr>
        <w:t>Organic Chemistry I &amp; II.</w:t>
      </w:r>
      <w:r w:rsidRPr="00C85D36">
        <w:rPr>
          <w:rFonts w:ascii="Palatino Linotype" w:hAnsi="Palatino Linotype" w:cs="Arial"/>
          <w:bCs/>
          <w:iCs/>
          <w:sz w:val="20"/>
          <w:szCs w:val="20"/>
        </w:rPr>
        <w:t xml:space="preserve">  A thorough study of the chemistry of organic compounds, with emphasis on structure, properties, synthesis, purification, principles and mechanisms of reactions, instrumental methods, compound identification, and important biological and economic applications.</w:t>
      </w:r>
    </w:p>
    <w:sectPr w:rsidR="00C85D36" w:rsidRPr="00C85D36" w:rsidSect="00F80F6D">
      <w:headerReference w:type="even" r:id="rId9"/>
      <w:headerReference w:type="default" r:id="rId10"/>
      <w:footerReference w:type="default" r:id="rId11"/>
      <w:headerReference w:type="first" r:id="rId12"/>
      <w:type w:val="continuous"/>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21" w:rsidRDefault="00701621" w:rsidP="000D0FC8">
      <w:pPr>
        <w:spacing w:after="0" w:line="240" w:lineRule="auto"/>
      </w:pPr>
      <w:r>
        <w:separator/>
      </w:r>
    </w:p>
  </w:endnote>
  <w:endnote w:type="continuationSeparator" w:id="0">
    <w:p w:rsidR="00701621" w:rsidRDefault="00701621" w:rsidP="000D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21" w:rsidRPr="00C15D76" w:rsidRDefault="00701621" w:rsidP="00070B5B">
    <w:pPr>
      <w:pStyle w:val="Footer"/>
      <w:jc w:val="right"/>
      <w:rPr>
        <w:rFonts w:ascii="Palatino Linotype" w:hAnsi="Palatino Linotype"/>
        <w:sz w:val="20"/>
        <w:szCs w:val="20"/>
      </w:rPr>
    </w:pPr>
    <w:r>
      <w:rPr>
        <w:rFonts w:ascii="Palatino Linotype" w:hAnsi="Palatino Linotype"/>
        <w:sz w:val="20"/>
        <w:szCs w:val="20"/>
      </w:rPr>
      <w:t xml:space="preserve">11/19/2012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21" w:rsidRDefault="00701621" w:rsidP="000D0FC8">
      <w:pPr>
        <w:spacing w:after="0" w:line="240" w:lineRule="auto"/>
      </w:pPr>
      <w:r>
        <w:separator/>
      </w:r>
    </w:p>
  </w:footnote>
  <w:footnote w:type="continuationSeparator" w:id="0">
    <w:p w:rsidR="00701621" w:rsidRDefault="00701621" w:rsidP="000D0FC8">
      <w:pPr>
        <w:spacing w:after="0" w:line="240" w:lineRule="auto"/>
      </w:pPr>
      <w:r>
        <w:continuationSeparator/>
      </w:r>
    </w:p>
  </w:footnote>
  <w:footnote w:id="1">
    <w:p w:rsidR="00701621" w:rsidRPr="00C85D36" w:rsidRDefault="00701621">
      <w:pPr>
        <w:pStyle w:val="FootnoteText"/>
        <w:rPr>
          <w:sz w:val="16"/>
          <w:szCs w:val="16"/>
        </w:rPr>
      </w:pPr>
      <w:r>
        <w:rPr>
          <w:rStyle w:val="FootnoteReference"/>
        </w:rPr>
        <w:footnoteRef/>
      </w:r>
      <w:r>
        <w:t xml:space="preserve"> </w:t>
      </w:r>
      <w:r w:rsidRPr="00C85D36">
        <w:rPr>
          <w:rFonts w:ascii="Palatino Linotype" w:hAnsi="Palatino Linotype" w:cs="Arial"/>
          <w:color w:val="000000"/>
          <w:sz w:val="16"/>
          <w:szCs w:val="16"/>
        </w:rPr>
        <w:t>The Board of Trustees of the Minnesota State Colleges and Universities is authorized by Minnesota Statutes, Chapter 136F to enter into Agreements and has delegated this authority to colleges and universities.</w:t>
      </w:r>
    </w:p>
  </w:footnote>
  <w:footnote w:id="2">
    <w:p w:rsidR="00701621" w:rsidRPr="00900D08" w:rsidRDefault="00701621">
      <w:pPr>
        <w:pStyle w:val="FootnoteText"/>
        <w:rPr>
          <w:rFonts w:ascii="Palatino Linotype" w:hAnsi="Palatino Linotype" w:cs="Arial"/>
          <w:sz w:val="18"/>
          <w:szCs w:val="18"/>
        </w:rPr>
      </w:pPr>
      <w:r w:rsidRPr="005B4F66">
        <w:rPr>
          <w:rFonts w:ascii="Arial" w:hAnsi="Arial" w:cs="Arial"/>
          <w:szCs w:val="16"/>
          <w:vertAlign w:val="superscript"/>
        </w:rPr>
        <w:footnoteRef/>
      </w:r>
      <w:r w:rsidRPr="005B4F66">
        <w:rPr>
          <w:rFonts w:ascii="Arial" w:hAnsi="Arial" w:cs="Arial"/>
          <w:szCs w:val="16"/>
          <w:vertAlign w:val="superscript"/>
        </w:rPr>
        <w:t xml:space="preserve"> </w:t>
      </w:r>
      <w:r w:rsidRPr="00900D08">
        <w:rPr>
          <w:rFonts w:ascii="Palatino Linotype" w:hAnsi="Palatino Linotype" w:cs="Arial"/>
          <w:sz w:val="18"/>
          <w:szCs w:val="18"/>
        </w:rPr>
        <w:t>See advisor or transfer specialist for guidance or questions regarding the selected baccalaureate program.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21" w:rsidRDefault="00701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21" w:rsidRPr="0075621E" w:rsidRDefault="00701621" w:rsidP="001103E5">
    <w:pPr>
      <w:jc w:val="right"/>
      <w:rPr>
        <w:rFonts w:ascii="Arial" w:hAnsi="Arial" w:cs="Arial"/>
      </w:rPr>
    </w:pPr>
    <w:r w:rsidRPr="00AF6933">
      <w:rPr>
        <w:rFonts w:ascii="Palatino Linotype" w:hAnsi="Palatino Linotype" w:cs="Arial"/>
        <w:sz w:val="20"/>
        <w:szCs w:val="20"/>
      </w:rPr>
      <w:t xml:space="preserve">Page </w:t>
    </w:r>
    <w:r>
      <w:fldChar w:fldCharType="begin"/>
    </w:r>
    <w:r>
      <w:instrText xml:space="preserve"> PAGE   \* MERGEFORMAT </w:instrText>
    </w:r>
    <w:r>
      <w:fldChar w:fldCharType="separate"/>
    </w:r>
    <w:r w:rsidR="006A1317" w:rsidRPr="006A1317">
      <w:rPr>
        <w:rFonts w:ascii="Palatino Linotype" w:hAnsi="Palatino Linotype" w:cs="Arial"/>
        <w:noProof/>
        <w:sz w:val="20"/>
        <w:szCs w:val="20"/>
      </w:rPr>
      <w:t>4</w:t>
    </w:r>
    <w:r>
      <w:rPr>
        <w:rFonts w:ascii="Palatino Linotype" w:hAnsi="Palatino Linotype" w:cs="Arial"/>
        <w:noProof/>
        <w:sz w:val="20"/>
        <w:szCs w:val="20"/>
      </w:rPr>
      <w:fldChar w:fldCharType="end"/>
    </w:r>
    <w:r w:rsidRPr="00AF6933">
      <w:rPr>
        <w:rFonts w:ascii="Palatino Linotype" w:hAnsi="Palatino Linotype" w:cs="Arial"/>
        <w:sz w:val="20"/>
        <w:szCs w:val="20"/>
      </w:rPr>
      <w:t xml:space="preserve"> of </w:t>
    </w:r>
    <w:r w:rsidR="006A1317">
      <w:fldChar w:fldCharType="begin"/>
    </w:r>
    <w:r w:rsidR="006A1317">
      <w:instrText xml:space="preserve"> NUMPAGES   \* MERGEFORMAT </w:instrText>
    </w:r>
    <w:r w:rsidR="006A1317">
      <w:fldChar w:fldCharType="separate"/>
    </w:r>
    <w:r w:rsidR="006A1317" w:rsidRPr="006A1317">
      <w:rPr>
        <w:rFonts w:ascii="Palatino Linotype" w:hAnsi="Palatino Linotype" w:cs="Arial"/>
        <w:noProof/>
        <w:sz w:val="20"/>
        <w:szCs w:val="20"/>
      </w:rPr>
      <w:t>6</w:t>
    </w:r>
    <w:r w:rsidR="006A1317">
      <w:rPr>
        <w:rFonts w:ascii="Palatino Linotype" w:hAnsi="Palatino Linotype" w:cs="Arial"/>
        <w:noProof/>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21" w:rsidRDefault="00701621" w:rsidP="00C15D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5E0"/>
    <w:multiLevelType w:val="hybridMultilevel"/>
    <w:tmpl w:val="DCA2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02798"/>
    <w:multiLevelType w:val="hybridMultilevel"/>
    <w:tmpl w:val="89D2A2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94107"/>
    <w:multiLevelType w:val="hybridMultilevel"/>
    <w:tmpl w:val="A0B85130"/>
    <w:lvl w:ilvl="0" w:tplc="04090015">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797F32"/>
    <w:multiLevelType w:val="hybridMultilevel"/>
    <w:tmpl w:val="CB8E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17E16"/>
    <w:multiLevelType w:val="hybridMultilevel"/>
    <w:tmpl w:val="F2623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5C49CD"/>
    <w:multiLevelType w:val="hybridMultilevel"/>
    <w:tmpl w:val="087A82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E44C0"/>
    <w:multiLevelType w:val="hybridMultilevel"/>
    <w:tmpl w:val="9E5A7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1C7829"/>
    <w:multiLevelType w:val="hybridMultilevel"/>
    <w:tmpl w:val="3EB65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B1AC8"/>
    <w:multiLevelType w:val="hybridMultilevel"/>
    <w:tmpl w:val="C4E03D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350DB"/>
    <w:multiLevelType w:val="hybridMultilevel"/>
    <w:tmpl w:val="5F2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6E17BB"/>
    <w:multiLevelType w:val="hybridMultilevel"/>
    <w:tmpl w:val="1B86686E"/>
    <w:lvl w:ilvl="0" w:tplc="7340BF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747EF"/>
    <w:multiLevelType w:val="hybridMultilevel"/>
    <w:tmpl w:val="8B22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4390F"/>
    <w:multiLevelType w:val="hybridMultilevel"/>
    <w:tmpl w:val="54F6CB7E"/>
    <w:lvl w:ilvl="0" w:tplc="34BEB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046CFC"/>
    <w:multiLevelType w:val="hybridMultilevel"/>
    <w:tmpl w:val="990E3568"/>
    <w:lvl w:ilvl="0" w:tplc="7340BFA8">
      <w:start w:val="1"/>
      <w:numFmt w:val="bullet"/>
      <w:lvlText w:val=""/>
      <w:lvlJc w:val="left"/>
      <w:pPr>
        <w:ind w:left="360" w:hanging="360"/>
      </w:pPr>
      <w:rPr>
        <w:rFonts w:ascii="Symbol" w:hAnsi="Symbol" w:hint="default"/>
        <w:sz w:val="2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3D5CCE"/>
    <w:multiLevelType w:val="hybridMultilevel"/>
    <w:tmpl w:val="7AF8F834"/>
    <w:lvl w:ilvl="0" w:tplc="7D5A4BA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71062"/>
    <w:multiLevelType w:val="hybridMultilevel"/>
    <w:tmpl w:val="4C4C5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77650"/>
    <w:multiLevelType w:val="hybridMultilevel"/>
    <w:tmpl w:val="3C14168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72E2D2D"/>
    <w:multiLevelType w:val="hybridMultilevel"/>
    <w:tmpl w:val="83DC18EA"/>
    <w:lvl w:ilvl="0" w:tplc="7340BFA8">
      <w:start w:val="1"/>
      <w:numFmt w:val="bullet"/>
      <w:lvlText w:val=""/>
      <w:lvlJc w:val="left"/>
      <w:pPr>
        <w:ind w:left="360" w:hanging="360"/>
      </w:pPr>
      <w:rPr>
        <w:rFonts w:ascii="Symbol" w:hAnsi="Symbol" w:hint="default"/>
        <w:sz w:val="2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9A7EA1"/>
    <w:multiLevelType w:val="hybridMultilevel"/>
    <w:tmpl w:val="D4007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133486"/>
    <w:multiLevelType w:val="hybridMultilevel"/>
    <w:tmpl w:val="7E980D16"/>
    <w:lvl w:ilvl="0" w:tplc="34BEBA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02DB0"/>
    <w:multiLevelType w:val="hybridMultilevel"/>
    <w:tmpl w:val="00A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5C1639"/>
    <w:multiLevelType w:val="hybridMultilevel"/>
    <w:tmpl w:val="257677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A06490"/>
    <w:multiLevelType w:val="hybridMultilevel"/>
    <w:tmpl w:val="544EA448"/>
    <w:lvl w:ilvl="0" w:tplc="BA20E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57CCA"/>
    <w:multiLevelType w:val="hybridMultilevel"/>
    <w:tmpl w:val="8012B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AC7FE3"/>
    <w:multiLevelType w:val="hybridMultilevel"/>
    <w:tmpl w:val="9E50D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83F71"/>
    <w:multiLevelType w:val="hybridMultilevel"/>
    <w:tmpl w:val="3186579A"/>
    <w:lvl w:ilvl="0" w:tplc="DB2259A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3E4F9D"/>
    <w:multiLevelType w:val="multilevel"/>
    <w:tmpl w:val="F69417AA"/>
    <w:lvl w:ilvl="0">
      <w:start w:val="1"/>
      <w:numFmt w:val="upp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087E75"/>
    <w:multiLevelType w:val="hybridMultilevel"/>
    <w:tmpl w:val="217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B35EFE"/>
    <w:multiLevelType w:val="hybridMultilevel"/>
    <w:tmpl w:val="F566E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40F23"/>
    <w:multiLevelType w:val="hybridMultilevel"/>
    <w:tmpl w:val="BF3E282E"/>
    <w:lvl w:ilvl="0" w:tplc="7340BFA8">
      <w:start w:val="1"/>
      <w:numFmt w:val="bullet"/>
      <w:lvlText w:val=""/>
      <w:lvlJc w:val="left"/>
      <w:pPr>
        <w:ind w:left="360" w:hanging="360"/>
      </w:pPr>
      <w:rPr>
        <w:rFonts w:ascii="Symbol" w:hAnsi="Symbol" w:hint="default"/>
        <w:sz w:val="20"/>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E4229E"/>
    <w:multiLevelType w:val="hybridMultilevel"/>
    <w:tmpl w:val="5F9E9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F44494"/>
    <w:multiLevelType w:val="hybridMultilevel"/>
    <w:tmpl w:val="F746D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50548"/>
    <w:multiLevelType w:val="hybridMultilevel"/>
    <w:tmpl w:val="720220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59E7014"/>
    <w:multiLevelType w:val="hybridMultilevel"/>
    <w:tmpl w:val="FD621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2023C"/>
    <w:multiLevelType w:val="hybridMultilevel"/>
    <w:tmpl w:val="CCB25F24"/>
    <w:lvl w:ilvl="0" w:tplc="7340BFA8">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7A26DA"/>
    <w:multiLevelType w:val="hybridMultilevel"/>
    <w:tmpl w:val="05E0B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3D757A"/>
    <w:multiLevelType w:val="hybridMultilevel"/>
    <w:tmpl w:val="40B4A7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02143"/>
    <w:multiLevelType w:val="hybridMultilevel"/>
    <w:tmpl w:val="BD0AB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201F5D"/>
    <w:multiLevelType w:val="hybridMultilevel"/>
    <w:tmpl w:val="9E50D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45898"/>
    <w:multiLevelType w:val="hybridMultilevel"/>
    <w:tmpl w:val="728A8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0511E"/>
    <w:multiLevelType w:val="hybridMultilevel"/>
    <w:tmpl w:val="4AA89CCA"/>
    <w:lvl w:ilvl="0" w:tplc="7340BF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5"/>
  </w:num>
  <w:num w:numId="4">
    <w:abstractNumId w:val="21"/>
  </w:num>
  <w:num w:numId="5">
    <w:abstractNumId w:val="11"/>
  </w:num>
  <w:num w:numId="6">
    <w:abstractNumId w:val="12"/>
  </w:num>
  <w:num w:numId="7">
    <w:abstractNumId w:val="19"/>
  </w:num>
  <w:num w:numId="8">
    <w:abstractNumId w:val="23"/>
  </w:num>
  <w:num w:numId="9">
    <w:abstractNumId w:val="35"/>
  </w:num>
  <w:num w:numId="10">
    <w:abstractNumId w:val="1"/>
  </w:num>
  <w:num w:numId="11">
    <w:abstractNumId w:val="38"/>
  </w:num>
  <w:num w:numId="12">
    <w:abstractNumId w:val="32"/>
  </w:num>
  <w:num w:numId="13">
    <w:abstractNumId w:val="31"/>
  </w:num>
  <w:num w:numId="14">
    <w:abstractNumId w:val="39"/>
  </w:num>
  <w:num w:numId="15">
    <w:abstractNumId w:val="9"/>
  </w:num>
  <w:num w:numId="16">
    <w:abstractNumId w:val="15"/>
  </w:num>
  <w:num w:numId="17">
    <w:abstractNumId w:val="5"/>
  </w:num>
  <w:num w:numId="18">
    <w:abstractNumId w:val="3"/>
  </w:num>
  <w:num w:numId="19">
    <w:abstractNumId w:val="30"/>
  </w:num>
  <w:num w:numId="20">
    <w:abstractNumId w:val="33"/>
  </w:num>
  <w:num w:numId="21">
    <w:abstractNumId w:val="26"/>
  </w:num>
  <w:num w:numId="22">
    <w:abstractNumId w:val="18"/>
  </w:num>
  <w:num w:numId="23">
    <w:abstractNumId w:val="7"/>
  </w:num>
  <w:num w:numId="24">
    <w:abstractNumId w:val="24"/>
  </w:num>
  <w:num w:numId="25">
    <w:abstractNumId w:val="28"/>
  </w:num>
  <w:num w:numId="26">
    <w:abstractNumId w:val="2"/>
  </w:num>
  <w:num w:numId="27">
    <w:abstractNumId w:val="36"/>
  </w:num>
  <w:num w:numId="28">
    <w:abstractNumId w:val="16"/>
  </w:num>
  <w:num w:numId="29">
    <w:abstractNumId w:val="8"/>
  </w:num>
  <w:num w:numId="30">
    <w:abstractNumId w:val="37"/>
  </w:num>
  <w:num w:numId="31">
    <w:abstractNumId w:val="0"/>
  </w:num>
  <w:num w:numId="32">
    <w:abstractNumId w:val="20"/>
  </w:num>
  <w:num w:numId="33">
    <w:abstractNumId w:val="6"/>
  </w:num>
  <w:num w:numId="34">
    <w:abstractNumId w:val="29"/>
  </w:num>
  <w:num w:numId="35">
    <w:abstractNumId w:val="34"/>
  </w:num>
  <w:num w:numId="36">
    <w:abstractNumId w:val="40"/>
  </w:num>
  <w:num w:numId="37">
    <w:abstractNumId w:val="10"/>
  </w:num>
  <w:num w:numId="38">
    <w:abstractNumId w:val="14"/>
  </w:num>
  <w:num w:numId="39">
    <w:abstractNumId w:val="13"/>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1B"/>
    <w:rsid w:val="00003114"/>
    <w:rsid w:val="00004F38"/>
    <w:rsid w:val="000052A7"/>
    <w:rsid w:val="00006A19"/>
    <w:rsid w:val="00006E1E"/>
    <w:rsid w:val="000137C7"/>
    <w:rsid w:val="00015C42"/>
    <w:rsid w:val="000166FA"/>
    <w:rsid w:val="00027AAA"/>
    <w:rsid w:val="000305B4"/>
    <w:rsid w:val="00030E04"/>
    <w:rsid w:val="00033FB0"/>
    <w:rsid w:val="00037068"/>
    <w:rsid w:val="00040D8E"/>
    <w:rsid w:val="00044D8D"/>
    <w:rsid w:val="0004605A"/>
    <w:rsid w:val="0005065C"/>
    <w:rsid w:val="0005776A"/>
    <w:rsid w:val="0006103D"/>
    <w:rsid w:val="00062E41"/>
    <w:rsid w:val="000639E9"/>
    <w:rsid w:val="00064141"/>
    <w:rsid w:val="000656DF"/>
    <w:rsid w:val="000667EC"/>
    <w:rsid w:val="00066E7F"/>
    <w:rsid w:val="00070B5B"/>
    <w:rsid w:val="000739ED"/>
    <w:rsid w:val="000771A6"/>
    <w:rsid w:val="00077FB1"/>
    <w:rsid w:val="00080036"/>
    <w:rsid w:val="000835BE"/>
    <w:rsid w:val="00087C91"/>
    <w:rsid w:val="00092BB8"/>
    <w:rsid w:val="00094283"/>
    <w:rsid w:val="000A419A"/>
    <w:rsid w:val="000B5A52"/>
    <w:rsid w:val="000C026E"/>
    <w:rsid w:val="000C52D2"/>
    <w:rsid w:val="000C5BD2"/>
    <w:rsid w:val="000C63B9"/>
    <w:rsid w:val="000C7222"/>
    <w:rsid w:val="000D0465"/>
    <w:rsid w:val="000D0FC8"/>
    <w:rsid w:val="000D1441"/>
    <w:rsid w:val="000D7BA2"/>
    <w:rsid w:val="000E6E0D"/>
    <w:rsid w:val="000E79FE"/>
    <w:rsid w:val="000F254B"/>
    <w:rsid w:val="000F2694"/>
    <w:rsid w:val="000F66CC"/>
    <w:rsid w:val="0010346D"/>
    <w:rsid w:val="00103D47"/>
    <w:rsid w:val="00105445"/>
    <w:rsid w:val="0010782A"/>
    <w:rsid w:val="001103E5"/>
    <w:rsid w:val="00116484"/>
    <w:rsid w:val="00120881"/>
    <w:rsid w:val="00120963"/>
    <w:rsid w:val="001241E1"/>
    <w:rsid w:val="00124BC2"/>
    <w:rsid w:val="00127F6D"/>
    <w:rsid w:val="001319CC"/>
    <w:rsid w:val="00132C64"/>
    <w:rsid w:val="001433B8"/>
    <w:rsid w:val="001447D7"/>
    <w:rsid w:val="00147125"/>
    <w:rsid w:val="00147575"/>
    <w:rsid w:val="00151AF2"/>
    <w:rsid w:val="001549CA"/>
    <w:rsid w:val="00154A02"/>
    <w:rsid w:val="00154EA5"/>
    <w:rsid w:val="001565AC"/>
    <w:rsid w:val="001600BC"/>
    <w:rsid w:val="001674B2"/>
    <w:rsid w:val="0017326E"/>
    <w:rsid w:val="00174476"/>
    <w:rsid w:val="00174A69"/>
    <w:rsid w:val="001805FE"/>
    <w:rsid w:val="00186E95"/>
    <w:rsid w:val="001910B9"/>
    <w:rsid w:val="00195425"/>
    <w:rsid w:val="00195E6A"/>
    <w:rsid w:val="001A0A36"/>
    <w:rsid w:val="001A18FB"/>
    <w:rsid w:val="001A3838"/>
    <w:rsid w:val="001A47C8"/>
    <w:rsid w:val="001A680B"/>
    <w:rsid w:val="001C6069"/>
    <w:rsid w:val="001D62C7"/>
    <w:rsid w:val="001E007A"/>
    <w:rsid w:val="001E5ED2"/>
    <w:rsid w:val="001E754D"/>
    <w:rsid w:val="001F56EC"/>
    <w:rsid w:val="001F662C"/>
    <w:rsid w:val="0020145E"/>
    <w:rsid w:val="00202D74"/>
    <w:rsid w:val="00205A81"/>
    <w:rsid w:val="00207818"/>
    <w:rsid w:val="00212958"/>
    <w:rsid w:val="00215116"/>
    <w:rsid w:val="00216B67"/>
    <w:rsid w:val="00217A99"/>
    <w:rsid w:val="00226563"/>
    <w:rsid w:val="002334A6"/>
    <w:rsid w:val="002352AE"/>
    <w:rsid w:val="00243518"/>
    <w:rsid w:val="0024506B"/>
    <w:rsid w:val="00250008"/>
    <w:rsid w:val="00255107"/>
    <w:rsid w:val="00257DBB"/>
    <w:rsid w:val="00274EBF"/>
    <w:rsid w:val="0027603A"/>
    <w:rsid w:val="00280F41"/>
    <w:rsid w:val="002822FD"/>
    <w:rsid w:val="002949CA"/>
    <w:rsid w:val="002A0FA3"/>
    <w:rsid w:val="002A7A89"/>
    <w:rsid w:val="002B1D98"/>
    <w:rsid w:val="002C27AD"/>
    <w:rsid w:val="002C2E2E"/>
    <w:rsid w:val="002D0F70"/>
    <w:rsid w:val="002D50F5"/>
    <w:rsid w:val="002E01F1"/>
    <w:rsid w:val="002E0596"/>
    <w:rsid w:val="002E25DF"/>
    <w:rsid w:val="002E3EF7"/>
    <w:rsid w:val="002E65E2"/>
    <w:rsid w:val="002E7681"/>
    <w:rsid w:val="002F11B5"/>
    <w:rsid w:val="002F1645"/>
    <w:rsid w:val="002F2641"/>
    <w:rsid w:val="002F51D1"/>
    <w:rsid w:val="002F69C2"/>
    <w:rsid w:val="00305C73"/>
    <w:rsid w:val="00320044"/>
    <w:rsid w:val="00323A84"/>
    <w:rsid w:val="00327DE0"/>
    <w:rsid w:val="00331CFE"/>
    <w:rsid w:val="003335E1"/>
    <w:rsid w:val="00337468"/>
    <w:rsid w:val="00341620"/>
    <w:rsid w:val="0034492B"/>
    <w:rsid w:val="0034643A"/>
    <w:rsid w:val="003508F4"/>
    <w:rsid w:val="00350AD8"/>
    <w:rsid w:val="00352F1B"/>
    <w:rsid w:val="00356027"/>
    <w:rsid w:val="00364346"/>
    <w:rsid w:val="00364D15"/>
    <w:rsid w:val="00372B73"/>
    <w:rsid w:val="003747C0"/>
    <w:rsid w:val="00376E0D"/>
    <w:rsid w:val="00381BA1"/>
    <w:rsid w:val="00381CB7"/>
    <w:rsid w:val="0038737B"/>
    <w:rsid w:val="00391826"/>
    <w:rsid w:val="00391E50"/>
    <w:rsid w:val="003934F7"/>
    <w:rsid w:val="0039521C"/>
    <w:rsid w:val="00395728"/>
    <w:rsid w:val="003A0B97"/>
    <w:rsid w:val="003A3684"/>
    <w:rsid w:val="003A37E3"/>
    <w:rsid w:val="003A541D"/>
    <w:rsid w:val="003A59F4"/>
    <w:rsid w:val="003B00FB"/>
    <w:rsid w:val="003B3F65"/>
    <w:rsid w:val="003B722C"/>
    <w:rsid w:val="003B7643"/>
    <w:rsid w:val="003B7BFC"/>
    <w:rsid w:val="003C04E9"/>
    <w:rsid w:val="003C2C61"/>
    <w:rsid w:val="003C3BA1"/>
    <w:rsid w:val="003C665B"/>
    <w:rsid w:val="003C6C89"/>
    <w:rsid w:val="003D2893"/>
    <w:rsid w:val="003E34DB"/>
    <w:rsid w:val="003E46D8"/>
    <w:rsid w:val="003F1EF8"/>
    <w:rsid w:val="004049B6"/>
    <w:rsid w:val="00404F1F"/>
    <w:rsid w:val="004071ED"/>
    <w:rsid w:val="00407FAD"/>
    <w:rsid w:val="004112AF"/>
    <w:rsid w:val="00412EB3"/>
    <w:rsid w:val="00414EBA"/>
    <w:rsid w:val="0042143B"/>
    <w:rsid w:val="004227D0"/>
    <w:rsid w:val="00424672"/>
    <w:rsid w:val="00431BFA"/>
    <w:rsid w:val="00431D71"/>
    <w:rsid w:val="00433D47"/>
    <w:rsid w:val="00435898"/>
    <w:rsid w:val="004362CC"/>
    <w:rsid w:val="004423AD"/>
    <w:rsid w:val="00444C66"/>
    <w:rsid w:val="004470BC"/>
    <w:rsid w:val="0046170C"/>
    <w:rsid w:val="00462369"/>
    <w:rsid w:val="00462E3A"/>
    <w:rsid w:val="00467CBA"/>
    <w:rsid w:val="004730ED"/>
    <w:rsid w:val="00482027"/>
    <w:rsid w:val="00483244"/>
    <w:rsid w:val="004853D0"/>
    <w:rsid w:val="0048542D"/>
    <w:rsid w:val="0048617E"/>
    <w:rsid w:val="004903B4"/>
    <w:rsid w:val="00491522"/>
    <w:rsid w:val="004926E3"/>
    <w:rsid w:val="004969D9"/>
    <w:rsid w:val="00497C21"/>
    <w:rsid w:val="004A0292"/>
    <w:rsid w:val="004A04EF"/>
    <w:rsid w:val="004A0C03"/>
    <w:rsid w:val="004A19A4"/>
    <w:rsid w:val="004A1D01"/>
    <w:rsid w:val="004A36C1"/>
    <w:rsid w:val="004A7999"/>
    <w:rsid w:val="004B23FB"/>
    <w:rsid w:val="004B2B89"/>
    <w:rsid w:val="004B49DE"/>
    <w:rsid w:val="004B7795"/>
    <w:rsid w:val="004C13EC"/>
    <w:rsid w:val="004C3A1D"/>
    <w:rsid w:val="004D1994"/>
    <w:rsid w:val="004D3838"/>
    <w:rsid w:val="004D3DF4"/>
    <w:rsid w:val="004D3EEF"/>
    <w:rsid w:val="004E15A2"/>
    <w:rsid w:val="004E40C3"/>
    <w:rsid w:val="004E7267"/>
    <w:rsid w:val="004F1268"/>
    <w:rsid w:val="004F328E"/>
    <w:rsid w:val="004F5D9E"/>
    <w:rsid w:val="0050025C"/>
    <w:rsid w:val="00502606"/>
    <w:rsid w:val="005036CC"/>
    <w:rsid w:val="00504388"/>
    <w:rsid w:val="00504D1E"/>
    <w:rsid w:val="00507924"/>
    <w:rsid w:val="00514A41"/>
    <w:rsid w:val="00524474"/>
    <w:rsid w:val="0052461D"/>
    <w:rsid w:val="005256D0"/>
    <w:rsid w:val="0053006B"/>
    <w:rsid w:val="00532062"/>
    <w:rsid w:val="00532BF0"/>
    <w:rsid w:val="00537FCD"/>
    <w:rsid w:val="00540873"/>
    <w:rsid w:val="00541A21"/>
    <w:rsid w:val="00543F6A"/>
    <w:rsid w:val="00546FCD"/>
    <w:rsid w:val="005474F6"/>
    <w:rsid w:val="005479F6"/>
    <w:rsid w:val="00551137"/>
    <w:rsid w:val="0055186A"/>
    <w:rsid w:val="005521A4"/>
    <w:rsid w:val="0055784D"/>
    <w:rsid w:val="00560B6A"/>
    <w:rsid w:val="0056404F"/>
    <w:rsid w:val="0056455C"/>
    <w:rsid w:val="005645E1"/>
    <w:rsid w:val="00572B84"/>
    <w:rsid w:val="00573A51"/>
    <w:rsid w:val="00573D01"/>
    <w:rsid w:val="005762AB"/>
    <w:rsid w:val="00577E09"/>
    <w:rsid w:val="00580216"/>
    <w:rsid w:val="00583E19"/>
    <w:rsid w:val="00586DBF"/>
    <w:rsid w:val="0059166F"/>
    <w:rsid w:val="00595FEB"/>
    <w:rsid w:val="005A451A"/>
    <w:rsid w:val="005A767F"/>
    <w:rsid w:val="005B07F3"/>
    <w:rsid w:val="005B098E"/>
    <w:rsid w:val="005B3680"/>
    <w:rsid w:val="005B4F66"/>
    <w:rsid w:val="005C0E85"/>
    <w:rsid w:val="005C1F52"/>
    <w:rsid w:val="005C27D1"/>
    <w:rsid w:val="005C5057"/>
    <w:rsid w:val="005C5D9E"/>
    <w:rsid w:val="005C782D"/>
    <w:rsid w:val="005D0777"/>
    <w:rsid w:val="005D0EEA"/>
    <w:rsid w:val="005D5BA5"/>
    <w:rsid w:val="005D7D80"/>
    <w:rsid w:val="005E218E"/>
    <w:rsid w:val="005E2516"/>
    <w:rsid w:val="005F0305"/>
    <w:rsid w:val="00600234"/>
    <w:rsid w:val="00606CC6"/>
    <w:rsid w:val="00610D93"/>
    <w:rsid w:val="00612558"/>
    <w:rsid w:val="00612C7D"/>
    <w:rsid w:val="00615A94"/>
    <w:rsid w:val="00616F3C"/>
    <w:rsid w:val="00620D39"/>
    <w:rsid w:val="006223EA"/>
    <w:rsid w:val="0062700D"/>
    <w:rsid w:val="00627876"/>
    <w:rsid w:val="00630B82"/>
    <w:rsid w:val="00631D33"/>
    <w:rsid w:val="00632CB5"/>
    <w:rsid w:val="00637EC8"/>
    <w:rsid w:val="006434C7"/>
    <w:rsid w:val="0064366C"/>
    <w:rsid w:val="006479A8"/>
    <w:rsid w:val="006519D2"/>
    <w:rsid w:val="00653532"/>
    <w:rsid w:val="0065453A"/>
    <w:rsid w:val="006549FA"/>
    <w:rsid w:val="00667F7A"/>
    <w:rsid w:val="00672258"/>
    <w:rsid w:val="00674EAD"/>
    <w:rsid w:val="00680C72"/>
    <w:rsid w:val="006811F9"/>
    <w:rsid w:val="006817EF"/>
    <w:rsid w:val="0068390B"/>
    <w:rsid w:val="0068536C"/>
    <w:rsid w:val="006853C7"/>
    <w:rsid w:val="0068670D"/>
    <w:rsid w:val="00687F09"/>
    <w:rsid w:val="006919AE"/>
    <w:rsid w:val="006961F1"/>
    <w:rsid w:val="006A1317"/>
    <w:rsid w:val="006A750A"/>
    <w:rsid w:val="006B0BB8"/>
    <w:rsid w:val="006B6CB4"/>
    <w:rsid w:val="006D48A6"/>
    <w:rsid w:val="006E274A"/>
    <w:rsid w:val="006E571A"/>
    <w:rsid w:val="00701621"/>
    <w:rsid w:val="00702831"/>
    <w:rsid w:val="00702DCC"/>
    <w:rsid w:val="00705BB1"/>
    <w:rsid w:val="007063BF"/>
    <w:rsid w:val="007148D0"/>
    <w:rsid w:val="007148E6"/>
    <w:rsid w:val="00716B1E"/>
    <w:rsid w:val="00716D37"/>
    <w:rsid w:val="00720479"/>
    <w:rsid w:val="00723888"/>
    <w:rsid w:val="0072470D"/>
    <w:rsid w:val="007268FD"/>
    <w:rsid w:val="00726CCC"/>
    <w:rsid w:val="007278E9"/>
    <w:rsid w:val="00727C2D"/>
    <w:rsid w:val="00730288"/>
    <w:rsid w:val="0073059B"/>
    <w:rsid w:val="00730962"/>
    <w:rsid w:val="00735E06"/>
    <w:rsid w:val="00735EE5"/>
    <w:rsid w:val="00737EDC"/>
    <w:rsid w:val="00743CDD"/>
    <w:rsid w:val="00744E82"/>
    <w:rsid w:val="00745057"/>
    <w:rsid w:val="00745317"/>
    <w:rsid w:val="00746BD6"/>
    <w:rsid w:val="00751494"/>
    <w:rsid w:val="00752091"/>
    <w:rsid w:val="00752A37"/>
    <w:rsid w:val="0075621E"/>
    <w:rsid w:val="00756226"/>
    <w:rsid w:val="007572E6"/>
    <w:rsid w:val="00762B06"/>
    <w:rsid w:val="00763CDC"/>
    <w:rsid w:val="0076498F"/>
    <w:rsid w:val="007654C3"/>
    <w:rsid w:val="00770710"/>
    <w:rsid w:val="00771D16"/>
    <w:rsid w:val="00772A8B"/>
    <w:rsid w:val="00775572"/>
    <w:rsid w:val="00776250"/>
    <w:rsid w:val="007765B2"/>
    <w:rsid w:val="00777E25"/>
    <w:rsid w:val="0078539E"/>
    <w:rsid w:val="00785A9B"/>
    <w:rsid w:val="0078776D"/>
    <w:rsid w:val="007A0731"/>
    <w:rsid w:val="007A0E2C"/>
    <w:rsid w:val="007A3B57"/>
    <w:rsid w:val="007A571B"/>
    <w:rsid w:val="007A61A5"/>
    <w:rsid w:val="007B19C7"/>
    <w:rsid w:val="007B1B07"/>
    <w:rsid w:val="007B2D36"/>
    <w:rsid w:val="007B51E8"/>
    <w:rsid w:val="007B6109"/>
    <w:rsid w:val="007C6679"/>
    <w:rsid w:val="007D3028"/>
    <w:rsid w:val="007E0822"/>
    <w:rsid w:val="007E19E4"/>
    <w:rsid w:val="007E2364"/>
    <w:rsid w:val="007E3BC6"/>
    <w:rsid w:val="007E5F8D"/>
    <w:rsid w:val="007E71F1"/>
    <w:rsid w:val="007E7DBB"/>
    <w:rsid w:val="007F1059"/>
    <w:rsid w:val="007F27B5"/>
    <w:rsid w:val="007F469A"/>
    <w:rsid w:val="007F5C20"/>
    <w:rsid w:val="007F62B9"/>
    <w:rsid w:val="007F67D3"/>
    <w:rsid w:val="0080065C"/>
    <w:rsid w:val="00801F48"/>
    <w:rsid w:val="00805228"/>
    <w:rsid w:val="00805490"/>
    <w:rsid w:val="00806149"/>
    <w:rsid w:val="00810504"/>
    <w:rsid w:val="008132C7"/>
    <w:rsid w:val="00814E81"/>
    <w:rsid w:val="008162E5"/>
    <w:rsid w:val="0081697C"/>
    <w:rsid w:val="0082147E"/>
    <w:rsid w:val="00822D31"/>
    <w:rsid w:val="00823EAD"/>
    <w:rsid w:val="008272CB"/>
    <w:rsid w:val="00835BDC"/>
    <w:rsid w:val="0084457E"/>
    <w:rsid w:val="00844E4D"/>
    <w:rsid w:val="008508E1"/>
    <w:rsid w:val="00855BE6"/>
    <w:rsid w:val="00861539"/>
    <w:rsid w:val="00861CDF"/>
    <w:rsid w:val="00862585"/>
    <w:rsid w:val="0086497A"/>
    <w:rsid w:val="00864C66"/>
    <w:rsid w:val="0087123A"/>
    <w:rsid w:val="00873C04"/>
    <w:rsid w:val="00873D4E"/>
    <w:rsid w:val="00874EE4"/>
    <w:rsid w:val="00874EF3"/>
    <w:rsid w:val="008779E3"/>
    <w:rsid w:val="0088284F"/>
    <w:rsid w:val="00882EDB"/>
    <w:rsid w:val="00892A6A"/>
    <w:rsid w:val="008950D8"/>
    <w:rsid w:val="008969D9"/>
    <w:rsid w:val="008A1CC6"/>
    <w:rsid w:val="008A2BD5"/>
    <w:rsid w:val="008A2F2A"/>
    <w:rsid w:val="008A6898"/>
    <w:rsid w:val="008A6969"/>
    <w:rsid w:val="008A7AEB"/>
    <w:rsid w:val="008B0879"/>
    <w:rsid w:val="008B2618"/>
    <w:rsid w:val="008B2A6D"/>
    <w:rsid w:val="008C0952"/>
    <w:rsid w:val="008C5FD2"/>
    <w:rsid w:val="008D2343"/>
    <w:rsid w:val="008D63A4"/>
    <w:rsid w:val="008D7553"/>
    <w:rsid w:val="008E2267"/>
    <w:rsid w:val="008E30B2"/>
    <w:rsid w:val="008E4C27"/>
    <w:rsid w:val="008F1D30"/>
    <w:rsid w:val="008F26C0"/>
    <w:rsid w:val="008F2B19"/>
    <w:rsid w:val="008F7D3E"/>
    <w:rsid w:val="00900D08"/>
    <w:rsid w:val="00900D75"/>
    <w:rsid w:val="00900F7B"/>
    <w:rsid w:val="00906057"/>
    <w:rsid w:val="009123A8"/>
    <w:rsid w:val="00912DF1"/>
    <w:rsid w:val="009130DF"/>
    <w:rsid w:val="00913420"/>
    <w:rsid w:val="00913BAE"/>
    <w:rsid w:val="0091798E"/>
    <w:rsid w:val="0092404C"/>
    <w:rsid w:val="009278AC"/>
    <w:rsid w:val="009305D2"/>
    <w:rsid w:val="00930EDC"/>
    <w:rsid w:val="00930F07"/>
    <w:rsid w:val="00931DE9"/>
    <w:rsid w:val="0093603C"/>
    <w:rsid w:val="00947937"/>
    <w:rsid w:val="00950AAF"/>
    <w:rsid w:val="009526E8"/>
    <w:rsid w:val="00960796"/>
    <w:rsid w:val="00960A03"/>
    <w:rsid w:val="00965B7B"/>
    <w:rsid w:val="00971C4F"/>
    <w:rsid w:val="0097221B"/>
    <w:rsid w:val="0097269A"/>
    <w:rsid w:val="009759A8"/>
    <w:rsid w:val="009808D0"/>
    <w:rsid w:val="00983DE1"/>
    <w:rsid w:val="00990CE0"/>
    <w:rsid w:val="00991280"/>
    <w:rsid w:val="00992DB5"/>
    <w:rsid w:val="009955A7"/>
    <w:rsid w:val="00996431"/>
    <w:rsid w:val="009A116E"/>
    <w:rsid w:val="009A14C9"/>
    <w:rsid w:val="009A153C"/>
    <w:rsid w:val="009A3044"/>
    <w:rsid w:val="009A3940"/>
    <w:rsid w:val="009A3989"/>
    <w:rsid w:val="009A3F7C"/>
    <w:rsid w:val="009A73A7"/>
    <w:rsid w:val="009B0105"/>
    <w:rsid w:val="009B3B04"/>
    <w:rsid w:val="009B3B26"/>
    <w:rsid w:val="009B3FAD"/>
    <w:rsid w:val="009B4204"/>
    <w:rsid w:val="009B4325"/>
    <w:rsid w:val="009B743D"/>
    <w:rsid w:val="009C12DD"/>
    <w:rsid w:val="009C734A"/>
    <w:rsid w:val="009D2111"/>
    <w:rsid w:val="009D243D"/>
    <w:rsid w:val="009D3BA2"/>
    <w:rsid w:val="009D3E8F"/>
    <w:rsid w:val="009D6964"/>
    <w:rsid w:val="009D7173"/>
    <w:rsid w:val="009D7445"/>
    <w:rsid w:val="009E08C4"/>
    <w:rsid w:val="009E2204"/>
    <w:rsid w:val="009E2A42"/>
    <w:rsid w:val="009E39A4"/>
    <w:rsid w:val="009E6439"/>
    <w:rsid w:val="009F1CF8"/>
    <w:rsid w:val="009F6D8E"/>
    <w:rsid w:val="00A0199E"/>
    <w:rsid w:val="00A025E5"/>
    <w:rsid w:val="00A10DAD"/>
    <w:rsid w:val="00A12412"/>
    <w:rsid w:val="00A133AD"/>
    <w:rsid w:val="00A146BA"/>
    <w:rsid w:val="00A2089F"/>
    <w:rsid w:val="00A23A88"/>
    <w:rsid w:val="00A244B4"/>
    <w:rsid w:val="00A274DC"/>
    <w:rsid w:val="00A30990"/>
    <w:rsid w:val="00A325F9"/>
    <w:rsid w:val="00A33945"/>
    <w:rsid w:val="00A34CC5"/>
    <w:rsid w:val="00A35773"/>
    <w:rsid w:val="00A44C2E"/>
    <w:rsid w:val="00A46482"/>
    <w:rsid w:val="00A47DB4"/>
    <w:rsid w:val="00A5135E"/>
    <w:rsid w:val="00A54BDA"/>
    <w:rsid w:val="00A624B3"/>
    <w:rsid w:val="00A63EB0"/>
    <w:rsid w:val="00A6535C"/>
    <w:rsid w:val="00A655CA"/>
    <w:rsid w:val="00A701D2"/>
    <w:rsid w:val="00A70B2E"/>
    <w:rsid w:val="00A72180"/>
    <w:rsid w:val="00A736A6"/>
    <w:rsid w:val="00A77754"/>
    <w:rsid w:val="00A779D8"/>
    <w:rsid w:val="00A8193C"/>
    <w:rsid w:val="00A82E89"/>
    <w:rsid w:val="00A840AD"/>
    <w:rsid w:val="00A86414"/>
    <w:rsid w:val="00A91EE4"/>
    <w:rsid w:val="00A934B0"/>
    <w:rsid w:val="00A96C57"/>
    <w:rsid w:val="00A96C8C"/>
    <w:rsid w:val="00AA1A90"/>
    <w:rsid w:val="00AA6A9E"/>
    <w:rsid w:val="00AB21B8"/>
    <w:rsid w:val="00AB3F8F"/>
    <w:rsid w:val="00AC0727"/>
    <w:rsid w:val="00AC1736"/>
    <w:rsid w:val="00AC3501"/>
    <w:rsid w:val="00AC4FCF"/>
    <w:rsid w:val="00AC6FFC"/>
    <w:rsid w:val="00AD2025"/>
    <w:rsid w:val="00AD3D68"/>
    <w:rsid w:val="00AE2817"/>
    <w:rsid w:val="00AE6052"/>
    <w:rsid w:val="00AE6FBB"/>
    <w:rsid w:val="00AE6FEF"/>
    <w:rsid w:val="00AF59D1"/>
    <w:rsid w:val="00AF5BF2"/>
    <w:rsid w:val="00AF6049"/>
    <w:rsid w:val="00AF6933"/>
    <w:rsid w:val="00AF7B46"/>
    <w:rsid w:val="00B0446D"/>
    <w:rsid w:val="00B07B0B"/>
    <w:rsid w:val="00B126B5"/>
    <w:rsid w:val="00B12CD5"/>
    <w:rsid w:val="00B1459D"/>
    <w:rsid w:val="00B15FEE"/>
    <w:rsid w:val="00B17477"/>
    <w:rsid w:val="00B17913"/>
    <w:rsid w:val="00B22FC1"/>
    <w:rsid w:val="00B23937"/>
    <w:rsid w:val="00B23A00"/>
    <w:rsid w:val="00B31CE9"/>
    <w:rsid w:val="00B33F08"/>
    <w:rsid w:val="00B346C1"/>
    <w:rsid w:val="00B34A0C"/>
    <w:rsid w:val="00B353DB"/>
    <w:rsid w:val="00B35653"/>
    <w:rsid w:val="00B42A6A"/>
    <w:rsid w:val="00B4446C"/>
    <w:rsid w:val="00B44FBB"/>
    <w:rsid w:val="00B45343"/>
    <w:rsid w:val="00B456CF"/>
    <w:rsid w:val="00B50A5D"/>
    <w:rsid w:val="00B62308"/>
    <w:rsid w:val="00B80F62"/>
    <w:rsid w:val="00B82B56"/>
    <w:rsid w:val="00B84953"/>
    <w:rsid w:val="00B85B53"/>
    <w:rsid w:val="00B85EED"/>
    <w:rsid w:val="00B868B2"/>
    <w:rsid w:val="00B9361A"/>
    <w:rsid w:val="00B94448"/>
    <w:rsid w:val="00BA0BF0"/>
    <w:rsid w:val="00BA232B"/>
    <w:rsid w:val="00BA530A"/>
    <w:rsid w:val="00BA5ABD"/>
    <w:rsid w:val="00BA60F1"/>
    <w:rsid w:val="00BB0CB7"/>
    <w:rsid w:val="00BB1327"/>
    <w:rsid w:val="00BB3578"/>
    <w:rsid w:val="00BB3B31"/>
    <w:rsid w:val="00BB7167"/>
    <w:rsid w:val="00BC0C3F"/>
    <w:rsid w:val="00BC26ED"/>
    <w:rsid w:val="00BC3F60"/>
    <w:rsid w:val="00BC4930"/>
    <w:rsid w:val="00BC6B07"/>
    <w:rsid w:val="00BE074D"/>
    <w:rsid w:val="00BE7EA7"/>
    <w:rsid w:val="00BF0A6B"/>
    <w:rsid w:val="00BF2ECB"/>
    <w:rsid w:val="00C02244"/>
    <w:rsid w:val="00C04C35"/>
    <w:rsid w:val="00C07D63"/>
    <w:rsid w:val="00C10177"/>
    <w:rsid w:val="00C12BBA"/>
    <w:rsid w:val="00C13CE4"/>
    <w:rsid w:val="00C15D76"/>
    <w:rsid w:val="00C24EF2"/>
    <w:rsid w:val="00C272B4"/>
    <w:rsid w:val="00C325A3"/>
    <w:rsid w:val="00C4277A"/>
    <w:rsid w:val="00C452CD"/>
    <w:rsid w:val="00C46E29"/>
    <w:rsid w:val="00C524BC"/>
    <w:rsid w:val="00C5687C"/>
    <w:rsid w:val="00C60C59"/>
    <w:rsid w:val="00C60F9A"/>
    <w:rsid w:val="00C637A5"/>
    <w:rsid w:val="00C64633"/>
    <w:rsid w:val="00C64C73"/>
    <w:rsid w:val="00C65D6E"/>
    <w:rsid w:val="00C700BA"/>
    <w:rsid w:val="00C72327"/>
    <w:rsid w:val="00C74860"/>
    <w:rsid w:val="00C76637"/>
    <w:rsid w:val="00C774F5"/>
    <w:rsid w:val="00C80545"/>
    <w:rsid w:val="00C83576"/>
    <w:rsid w:val="00C8433C"/>
    <w:rsid w:val="00C844D9"/>
    <w:rsid w:val="00C85D36"/>
    <w:rsid w:val="00C86B33"/>
    <w:rsid w:val="00C93C5C"/>
    <w:rsid w:val="00C9586C"/>
    <w:rsid w:val="00CA31A8"/>
    <w:rsid w:val="00CB06E8"/>
    <w:rsid w:val="00CB5B47"/>
    <w:rsid w:val="00CC4C7A"/>
    <w:rsid w:val="00CC69FB"/>
    <w:rsid w:val="00CC6CCC"/>
    <w:rsid w:val="00CD0672"/>
    <w:rsid w:val="00CD565D"/>
    <w:rsid w:val="00CD66D2"/>
    <w:rsid w:val="00CD7E84"/>
    <w:rsid w:val="00CE028C"/>
    <w:rsid w:val="00CE18EB"/>
    <w:rsid w:val="00CF1C63"/>
    <w:rsid w:val="00CF7D05"/>
    <w:rsid w:val="00D04892"/>
    <w:rsid w:val="00D0646D"/>
    <w:rsid w:val="00D101A7"/>
    <w:rsid w:val="00D173BE"/>
    <w:rsid w:val="00D219ED"/>
    <w:rsid w:val="00D21E4C"/>
    <w:rsid w:val="00D23E8C"/>
    <w:rsid w:val="00D27531"/>
    <w:rsid w:val="00D34578"/>
    <w:rsid w:val="00D35E4D"/>
    <w:rsid w:val="00D36C41"/>
    <w:rsid w:val="00D371D6"/>
    <w:rsid w:val="00D375B9"/>
    <w:rsid w:val="00D40971"/>
    <w:rsid w:val="00D41469"/>
    <w:rsid w:val="00D416FA"/>
    <w:rsid w:val="00D43477"/>
    <w:rsid w:val="00D44FBA"/>
    <w:rsid w:val="00D4698B"/>
    <w:rsid w:val="00D46AF4"/>
    <w:rsid w:val="00D47ED1"/>
    <w:rsid w:val="00D50F79"/>
    <w:rsid w:val="00D512C2"/>
    <w:rsid w:val="00D544A9"/>
    <w:rsid w:val="00D651C3"/>
    <w:rsid w:val="00D652B3"/>
    <w:rsid w:val="00D77EA8"/>
    <w:rsid w:val="00D81711"/>
    <w:rsid w:val="00D84273"/>
    <w:rsid w:val="00D86CB4"/>
    <w:rsid w:val="00D9371F"/>
    <w:rsid w:val="00D93F08"/>
    <w:rsid w:val="00DA0093"/>
    <w:rsid w:val="00DA6CB5"/>
    <w:rsid w:val="00DB1C24"/>
    <w:rsid w:val="00DB3FEF"/>
    <w:rsid w:val="00DC10B7"/>
    <w:rsid w:val="00DC215C"/>
    <w:rsid w:val="00DC31CD"/>
    <w:rsid w:val="00DD24F8"/>
    <w:rsid w:val="00DD520D"/>
    <w:rsid w:val="00DD7259"/>
    <w:rsid w:val="00DD77A0"/>
    <w:rsid w:val="00DE1416"/>
    <w:rsid w:val="00DE228C"/>
    <w:rsid w:val="00DE3EE9"/>
    <w:rsid w:val="00DF121B"/>
    <w:rsid w:val="00DF244C"/>
    <w:rsid w:val="00E0337F"/>
    <w:rsid w:val="00E04E91"/>
    <w:rsid w:val="00E06B33"/>
    <w:rsid w:val="00E06CE5"/>
    <w:rsid w:val="00E11A9F"/>
    <w:rsid w:val="00E1364A"/>
    <w:rsid w:val="00E1467A"/>
    <w:rsid w:val="00E15B51"/>
    <w:rsid w:val="00E16B3D"/>
    <w:rsid w:val="00E17D72"/>
    <w:rsid w:val="00E20F43"/>
    <w:rsid w:val="00E223E9"/>
    <w:rsid w:val="00E22EDD"/>
    <w:rsid w:val="00E241D5"/>
    <w:rsid w:val="00E27030"/>
    <w:rsid w:val="00E30D3D"/>
    <w:rsid w:val="00E31038"/>
    <w:rsid w:val="00E37263"/>
    <w:rsid w:val="00E3798A"/>
    <w:rsid w:val="00E40199"/>
    <w:rsid w:val="00E42967"/>
    <w:rsid w:val="00E43A64"/>
    <w:rsid w:val="00E47FB6"/>
    <w:rsid w:val="00E6167B"/>
    <w:rsid w:val="00E642E0"/>
    <w:rsid w:val="00E70DE3"/>
    <w:rsid w:val="00E71DA8"/>
    <w:rsid w:val="00E72A1A"/>
    <w:rsid w:val="00E72ADD"/>
    <w:rsid w:val="00E7528D"/>
    <w:rsid w:val="00E753D6"/>
    <w:rsid w:val="00E773F8"/>
    <w:rsid w:val="00E800DD"/>
    <w:rsid w:val="00E8332B"/>
    <w:rsid w:val="00E91026"/>
    <w:rsid w:val="00E93737"/>
    <w:rsid w:val="00E93B79"/>
    <w:rsid w:val="00EA17B0"/>
    <w:rsid w:val="00EA20C8"/>
    <w:rsid w:val="00EA29F6"/>
    <w:rsid w:val="00EB2172"/>
    <w:rsid w:val="00EB3491"/>
    <w:rsid w:val="00EB7FB6"/>
    <w:rsid w:val="00EC072B"/>
    <w:rsid w:val="00EC16D9"/>
    <w:rsid w:val="00EC408F"/>
    <w:rsid w:val="00EC429E"/>
    <w:rsid w:val="00EC4857"/>
    <w:rsid w:val="00ED4D9F"/>
    <w:rsid w:val="00ED6F9E"/>
    <w:rsid w:val="00EE0548"/>
    <w:rsid w:val="00EE4003"/>
    <w:rsid w:val="00EE5BAE"/>
    <w:rsid w:val="00EF0B65"/>
    <w:rsid w:val="00EF2757"/>
    <w:rsid w:val="00EF28C0"/>
    <w:rsid w:val="00EF4071"/>
    <w:rsid w:val="00EF6A07"/>
    <w:rsid w:val="00F044C1"/>
    <w:rsid w:val="00F0722E"/>
    <w:rsid w:val="00F07726"/>
    <w:rsid w:val="00F12F5D"/>
    <w:rsid w:val="00F15664"/>
    <w:rsid w:val="00F15B9E"/>
    <w:rsid w:val="00F16016"/>
    <w:rsid w:val="00F21611"/>
    <w:rsid w:val="00F2779A"/>
    <w:rsid w:val="00F3260C"/>
    <w:rsid w:val="00F32FE9"/>
    <w:rsid w:val="00F35D9C"/>
    <w:rsid w:val="00F4175B"/>
    <w:rsid w:val="00F4315E"/>
    <w:rsid w:val="00F4420C"/>
    <w:rsid w:val="00F46D6D"/>
    <w:rsid w:val="00F47407"/>
    <w:rsid w:val="00F47CD7"/>
    <w:rsid w:val="00F5027D"/>
    <w:rsid w:val="00F50B64"/>
    <w:rsid w:val="00F5155B"/>
    <w:rsid w:val="00F516DA"/>
    <w:rsid w:val="00F52EAB"/>
    <w:rsid w:val="00F536EF"/>
    <w:rsid w:val="00F5402A"/>
    <w:rsid w:val="00F622E1"/>
    <w:rsid w:val="00F64397"/>
    <w:rsid w:val="00F64BBE"/>
    <w:rsid w:val="00F74124"/>
    <w:rsid w:val="00F80F6D"/>
    <w:rsid w:val="00F82DC8"/>
    <w:rsid w:val="00F8392A"/>
    <w:rsid w:val="00F86A1C"/>
    <w:rsid w:val="00F90811"/>
    <w:rsid w:val="00F91E80"/>
    <w:rsid w:val="00F947A5"/>
    <w:rsid w:val="00F97F88"/>
    <w:rsid w:val="00FA04B1"/>
    <w:rsid w:val="00FA166D"/>
    <w:rsid w:val="00FA551A"/>
    <w:rsid w:val="00FA60E0"/>
    <w:rsid w:val="00FB3714"/>
    <w:rsid w:val="00FB5FB3"/>
    <w:rsid w:val="00FB644E"/>
    <w:rsid w:val="00FB70F3"/>
    <w:rsid w:val="00FC121B"/>
    <w:rsid w:val="00FC2497"/>
    <w:rsid w:val="00FC7315"/>
    <w:rsid w:val="00FD2E64"/>
    <w:rsid w:val="00FD5E18"/>
    <w:rsid w:val="00FE3691"/>
    <w:rsid w:val="00FE5391"/>
    <w:rsid w:val="00FE650D"/>
    <w:rsid w:val="00FF57BB"/>
    <w:rsid w:val="00FF6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ECB"/>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63"/>
    <w:pPr>
      <w:ind w:left="720"/>
      <w:contextualSpacing/>
    </w:pPr>
  </w:style>
  <w:style w:type="paragraph" w:styleId="Header">
    <w:name w:val="header"/>
    <w:basedOn w:val="Normal"/>
    <w:link w:val="HeaderChar"/>
    <w:uiPriority w:val="99"/>
    <w:unhideWhenUsed/>
    <w:rsid w:val="000D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C8"/>
  </w:style>
  <w:style w:type="paragraph" w:styleId="Footer">
    <w:name w:val="footer"/>
    <w:basedOn w:val="Normal"/>
    <w:link w:val="FooterChar"/>
    <w:uiPriority w:val="99"/>
    <w:unhideWhenUsed/>
    <w:rsid w:val="000D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C8"/>
  </w:style>
  <w:style w:type="paragraph" w:styleId="BalloonText">
    <w:name w:val="Balloon Text"/>
    <w:basedOn w:val="Normal"/>
    <w:link w:val="BalloonTextChar"/>
    <w:uiPriority w:val="99"/>
    <w:semiHidden/>
    <w:unhideWhenUsed/>
    <w:rsid w:val="000D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C8"/>
    <w:rPr>
      <w:rFonts w:ascii="Tahoma" w:hAnsi="Tahoma" w:cs="Tahoma"/>
      <w:sz w:val="16"/>
      <w:szCs w:val="16"/>
    </w:rPr>
  </w:style>
  <w:style w:type="paragraph" w:styleId="FootnoteText">
    <w:name w:val="footnote text"/>
    <w:basedOn w:val="Normal"/>
    <w:link w:val="FootnoteTextChar"/>
    <w:uiPriority w:val="99"/>
    <w:semiHidden/>
    <w:unhideWhenUsed/>
    <w:rsid w:val="00320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44"/>
    <w:rPr>
      <w:sz w:val="20"/>
      <w:szCs w:val="20"/>
    </w:rPr>
  </w:style>
  <w:style w:type="character" w:styleId="FootnoteReference">
    <w:name w:val="footnote reference"/>
    <w:basedOn w:val="DefaultParagraphFont"/>
    <w:uiPriority w:val="99"/>
    <w:semiHidden/>
    <w:unhideWhenUsed/>
    <w:rsid w:val="00320044"/>
    <w:rPr>
      <w:vertAlign w:val="superscript"/>
    </w:rPr>
  </w:style>
  <w:style w:type="character" w:styleId="IntenseEmphasis">
    <w:name w:val="Intense Emphasis"/>
    <w:basedOn w:val="DefaultParagraphFont"/>
    <w:uiPriority w:val="21"/>
    <w:qFormat/>
    <w:rsid w:val="00154A02"/>
    <w:rPr>
      <w:b/>
      <w:bCs/>
      <w:i/>
      <w:iCs/>
      <w:color w:val="4F81BD"/>
    </w:rPr>
  </w:style>
  <w:style w:type="paragraph" w:styleId="NormalWeb">
    <w:name w:val="Normal (Web)"/>
    <w:basedOn w:val="Normal"/>
    <w:rsid w:val="00154A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2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1CF8"/>
    <w:rPr>
      <w:color w:val="0000FF" w:themeColor="hyperlink"/>
      <w:u w:val="single"/>
    </w:rPr>
  </w:style>
  <w:style w:type="character" w:customStyle="1" w:styleId="Heading1Char">
    <w:name w:val="Heading 1 Char"/>
    <w:basedOn w:val="DefaultParagraphFont"/>
    <w:link w:val="Heading1"/>
    <w:uiPriority w:val="9"/>
    <w:rsid w:val="00BF2ECB"/>
    <w:rPr>
      <w:rFonts w:ascii="Cambria" w:eastAsia="Times New Roman" w:hAnsi="Cambria" w:cs="Times New Roman"/>
      <w:b/>
      <w:bCs/>
      <w:kern w:val="32"/>
      <w:sz w:val="32"/>
      <w:szCs w:val="32"/>
    </w:rPr>
  </w:style>
  <w:style w:type="character" w:styleId="IntenseReference">
    <w:name w:val="Intense Reference"/>
    <w:basedOn w:val="DefaultParagraphFont"/>
    <w:uiPriority w:val="32"/>
    <w:qFormat/>
    <w:rsid w:val="00BF2ECB"/>
    <w:rPr>
      <w:b/>
      <w:bCs/>
      <w:smallCaps/>
      <w:color w:val="C0504D" w:themeColor="accent2"/>
      <w:spacing w:val="5"/>
      <w:u w:val="single"/>
    </w:rPr>
  </w:style>
  <w:style w:type="character" w:styleId="CommentReference">
    <w:name w:val="annotation reference"/>
    <w:basedOn w:val="DefaultParagraphFont"/>
    <w:uiPriority w:val="99"/>
    <w:semiHidden/>
    <w:unhideWhenUsed/>
    <w:rsid w:val="00702DCC"/>
    <w:rPr>
      <w:sz w:val="16"/>
      <w:szCs w:val="16"/>
    </w:rPr>
  </w:style>
  <w:style w:type="paragraph" w:styleId="CommentText">
    <w:name w:val="annotation text"/>
    <w:basedOn w:val="Normal"/>
    <w:link w:val="CommentTextChar"/>
    <w:uiPriority w:val="99"/>
    <w:semiHidden/>
    <w:unhideWhenUsed/>
    <w:rsid w:val="00702DCC"/>
    <w:pPr>
      <w:spacing w:line="240" w:lineRule="auto"/>
    </w:pPr>
    <w:rPr>
      <w:sz w:val="20"/>
      <w:szCs w:val="20"/>
    </w:rPr>
  </w:style>
  <w:style w:type="character" w:customStyle="1" w:styleId="CommentTextChar">
    <w:name w:val="Comment Text Char"/>
    <w:basedOn w:val="DefaultParagraphFont"/>
    <w:link w:val="CommentText"/>
    <w:uiPriority w:val="99"/>
    <w:semiHidden/>
    <w:rsid w:val="00702DCC"/>
    <w:rPr>
      <w:sz w:val="20"/>
      <w:szCs w:val="20"/>
    </w:rPr>
  </w:style>
  <w:style w:type="paragraph" w:styleId="CommentSubject">
    <w:name w:val="annotation subject"/>
    <w:basedOn w:val="CommentText"/>
    <w:next w:val="CommentText"/>
    <w:link w:val="CommentSubjectChar"/>
    <w:uiPriority w:val="99"/>
    <w:semiHidden/>
    <w:unhideWhenUsed/>
    <w:rsid w:val="00702DCC"/>
    <w:rPr>
      <w:b/>
      <w:bCs/>
    </w:rPr>
  </w:style>
  <w:style w:type="character" w:customStyle="1" w:styleId="CommentSubjectChar">
    <w:name w:val="Comment Subject Char"/>
    <w:basedOn w:val="CommentTextChar"/>
    <w:link w:val="CommentSubject"/>
    <w:uiPriority w:val="99"/>
    <w:semiHidden/>
    <w:rsid w:val="00702DCC"/>
    <w:rPr>
      <w:b/>
      <w:bCs/>
      <w:sz w:val="20"/>
      <w:szCs w:val="20"/>
    </w:rPr>
  </w:style>
  <w:style w:type="paragraph" w:customStyle="1" w:styleId="coursedescriptions">
    <w:name w:val="coursedescriptions"/>
    <w:basedOn w:val="Normal"/>
    <w:rsid w:val="00C85D36"/>
    <w:pPr>
      <w:spacing w:after="120" w:line="240" w:lineRule="auto"/>
      <w:textAlignment w:val="baseline"/>
    </w:pPr>
    <w:rPr>
      <w:rFonts w:ascii="Tahoma" w:eastAsia="Times New Roman" w:hAnsi="Tahoma" w:cs="Tahoma"/>
      <w:color w:val="000000"/>
      <w:sz w:val="17"/>
      <w:szCs w:val="17"/>
    </w:rPr>
  </w:style>
  <w:style w:type="paragraph" w:customStyle="1" w:styleId="Default">
    <w:name w:val="Default"/>
    <w:rsid w:val="00C85D36"/>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EC408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C408F"/>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2ECB"/>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263"/>
    <w:pPr>
      <w:ind w:left="720"/>
      <w:contextualSpacing/>
    </w:pPr>
  </w:style>
  <w:style w:type="paragraph" w:styleId="Header">
    <w:name w:val="header"/>
    <w:basedOn w:val="Normal"/>
    <w:link w:val="HeaderChar"/>
    <w:uiPriority w:val="99"/>
    <w:unhideWhenUsed/>
    <w:rsid w:val="000D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FC8"/>
  </w:style>
  <w:style w:type="paragraph" w:styleId="Footer">
    <w:name w:val="footer"/>
    <w:basedOn w:val="Normal"/>
    <w:link w:val="FooterChar"/>
    <w:uiPriority w:val="99"/>
    <w:unhideWhenUsed/>
    <w:rsid w:val="000D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FC8"/>
  </w:style>
  <w:style w:type="paragraph" w:styleId="BalloonText">
    <w:name w:val="Balloon Text"/>
    <w:basedOn w:val="Normal"/>
    <w:link w:val="BalloonTextChar"/>
    <w:uiPriority w:val="99"/>
    <w:semiHidden/>
    <w:unhideWhenUsed/>
    <w:rsid w:val="000D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C8"/>
    <w:rPr>
      <w:rFonts w:ascii="Tahoma" w:hAnsi="Tahoma" w:cs="Tahoma"/>
      <w:sz w:val="16"/>
      <w:szCs w:val="16"/>
    </w:rPr>
  </w:style>
  <w:style w:type="paragraph" w:styleId="FootnoteText">
    <w:name w:val="footnote text"/>
    <w:basedOn w:val="Normal"/>
    <w:link w:val="FootnoteTextChar"/>
    <w:uiPriority w:val="99"/>
    <w:semiHidden/>
    <w:unhideWhenUsed/>
    <w:rsid w:val="00320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0044"/>
    <w:rPr>
      <w:sz w:val="20"/>
      <w:szCs w:val="20"/>
    </w:rPr>
  </w:style>
  <w:style w:type="character" w:styleId="FootnoteReference">
    <w:name w:val="footnote reference"/>
    <w:basedOn w:val="DefaultParagraphFont"/>
    <w:uiPriority w:val="99"/>
    <w:semiHidden/>
    <w:unhideWhenUsed/>
    <w:rsid w:val="00320044"/>
    <w:rPr>
      <w:vertAlign w:val="superscript"/>
    </w:rPr>
  </w:style>
  <w:style w:type="character" w:styleId="IntenseEmphasis">
    <w:name w:val="Intense Emphasis"/>
    <w:basedOn w:val="DefaultParagraphFont"/>
    <w:uiPriority w:val="21"/>
    <w:qFormat/>
    <w:rsid w:val="00154A02"/>
    <w:rPr>
      <w:b/>
      <w:bCs/>
      <w:i/>
      <w:iCs/>
      <w:color w:val="4F81BD"/>
    </w:rPr>
  </w:style>
  <w:style w:type="paragraph" w:styleId="NormalWeb">
    <w:name w:val="Normal (Web)"/>
    <w:basedOn w:val="Normal"/>
    <w:rsid w:val="00154A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2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1CF8"/>
    <w:rPr>
      <w:color w:val="0000FF" w:themeColor="hyperlink"/>
      <w:u w:val="single"/>
    </w:rPr>
  </w:style>
  <w:style w:type="character" w:customStyle="1" w:styleId="Heading1Char">
    <w:name w:val="Heading 1 Char"/>
    <w:basedOn w:val="DefaultParagraphFont"/>
    <w:link w:val="Heading1"/>
    <w:uiPriority w:val="9"/>
    <w:rsid w:val="00BF2ECB"/>
    <w:rPr>
      <w:rFonts w:ascii="Cambria" w:eastAsia="Times New Roman" w:hAnsi="Cambria" w:cs="Times New Roman"/>
      <w:b/>
      <w:bCs/>
      <w:kern w:val="32"/>
      <w:sz w:val="32"/>
      <w:szCs w:val="32"/>
    </w:rPr>
  </w:style>
  <w:style w:type="character" w:styleId="IntenseReference">
    <w:name w:val="Intense Reference"/>
    <w:basedOn w:val="DefaultParagraphFont"/>
    <w:uiPriority w:val="32"/>
    <w:qFormat/>
    <w:rsid w:val="00BF2ECB"/>
    <w:rPr>
      <w:b/>
      <w:bCs/>
      <w:smallCaps/>
      <w:color w:val="C0504D" w:themeColor="accent2"/>
      <w:spacing w:val="5"/>
      <w:u w:val="single"/>
    </w:rPr>
  </w:style>
  <w:style w:type="character" w:styleId="CommentReference">
    <w:name w:val="annotation reference"/>
    <w:basedOn w:val="DefaultParagraphFont"/>
    <w:uiPriority w:val="99"/>
    <w:semiHidden/>
    <w:unhideWhenUsed/>
    <w:rsid w:val="00702DCC"/>
    <w:rPr>
      <w:sz w:val="16"/>
      <w:szCs w:val="16"/>
    </w:rPr>
  </w:style>
  <w:style w:type="paragraph" w:styleId="CommentText">
    <w:name w:val="annotation text"/>
    <w:basedOn w:val="Normal"/>
    <w:link w:val="CommentTextChar"/>
    <w:uiPriority w:val="99"/>
    <w:semiHidden/>
    <w:unhideWhenUsed/>
    <w:rsid w:val="00702DCC"/>
    <w:pPr>
      <w:spacing w:line="240" w:lineRule="auto"/>
    </w:pPr>
    <w:rPr>
      <w:sz w:val="20"/>
      <w:szCs w:val="20"/>
    </w:rPr>
  </w:style>
  <w:style w:type="character" w:customStyle="1" w:styleId="CommentTextChar">
    <w:name w:val="Comment Text Char"/>
    <w:basedOn w:val="DefaultParagraphFont"/>
    <w:link w:val="CommentText"/>
    <w:uiPriority w:val="99"/>
    <w:semiHidden/>
    <w:rsid w:val="00702DCC"/>
    <w:rPr>
      <w:sz w:val="20"/>
      <w:szCs w:val="20"/>
    </w:rPr>
  </w:style>
  <w:style w:type="paragraph" w:styleId="CommentSubject">
    <w:name w:val="annotation subject"/>
    <w:basedOn w:val="CommentText"/>
    <w:next w:val="CommentText"/>
    <w:link w:val="CommentSubjectChar"/>
    <w:uiPriority w:val="99"/>
    <w:semiHidden/>
    <w:unhideWhenUsed/>
    <w:rsid w:val="00702DCC"/>
    <w:rPr>
      <w:b/>
      <w:bCs/>
    </w:rPr>
  </w:style>
  <w:style w:type="character" w:customStyle="1" w:styleId="CommentSubjectChar">
    <w:name w:val="Comment Subject Char"/>
    <w:basedOn w:val="CommentTextChar"/>
    <w:link w:val="CommentSubject"/>
    <w:uiPriority w:val="99"/>
    <w:semiHidden/>
    <w:rsid w:val="00702DCC"/>
    <w:rPr>
      <w:b/>
      <w:bCs/>
      <w:sz w:val="20"/>
      <w:szCs w:val="20"/>
    </w:rPr>
  </w:style>
  <w:style w:type="paragraph" w:customStyle="1" w:styleId="coursedescriptions">
    <w:name w:val="coursedescriptions"/>
    <w:basedOn w:val="Normal"/>
    <w:rsid w:val="00C85D36"/>
    <w:pPr>
      <w:spacing w:after="120" w:line="240" w:lineRule="auto"/>
      <w:textAlignment w:val="baseline"/>
    </w:pPr>
    <w:rPr>
      <w:rFonts w:ascii="Tahoma" w:eastAsia="Times New Roman" w:hAnsi="Tahoma" w:cs="Tahoma"/>
      <w:color w:val="000000"/>
      <w:sz w:val="17"/>
      <w:szCs w:val="17"/>
    </w:rPr>
  </w:style>
  <w:style w:type="paragraph" w:customStyle="1" w:styleId="Default">
    <w:name w:val="Default"/>
    <w:rsid w:val="00C85D36"/>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EC408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EC408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3360">
      <w:bodyDiv w:val="1"/>
      <w:marLeft w:val="0"/>
      <w:marRight w:val="0"/>
      <w:marTop w:val="0"/>
      <w:marBottom w:val="0"/>
      <w:divBdr>
        <w:top w:val="none" w:sz="0" w:space="0" w:color="auto"/>
        <w:left w:val="none" w:sz="0" w:space="0" w:color="auto"/>
        <w:bottom w:val="none" w:sz="0" w:space="0" w:color="auto"/>
        <w:right w:val="none" w:sz="0" w:space="0" w:color="auto"/>
      </w:divBdr>
    </w:div>
    <w:div w:id="13088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36DA1-1F9C-4532-8F7D-38AAC573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 user</dc:creator>
  <cp:lastModifiedBy>Marta Mohr</cp:lastModifiedBy>
  <cp:revision>4</cp:revision>
  <cp:lastPrinted>2012-11-19T22:15:00Z</cp:lastPrinted>
  <dcterms:created xsi:type="dcterms:W3CDTF">2012-12-18T22:45:00Z</dcterms:created>
  <dcterms:modified xsi:type="dcterms:W3CDTF">2013-01-02T22:07:00Z</dcterms:modified>
</cp:coreProperties>
</file>