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7F12E" w14:textId="0511B1E5" w:rsidR="00783ABE" w:rsidRDefault="00A75FFA" w:rsidP="004C5906">
      <w:pPr>
        <w:spacing w:after="120"/>
        <w:jc w:val="both"/>
      </w:pPr>
      <w:bookmarkStart w:id="0" w:name="_GoBack"/>
      <w:bookmarkEnd w:id="0"/>
      <w:r>
        <w:t xml:space="preserve">The </w:t>
      </w:r>
      <w:r w:rsidRPr="001F7686">
        <w:rPr>
          <w:b/>
          <w:i/>
        </w:rPr>
        <w:t>Strengthening Career and Technical Education for the 21</w:t>
      </w:r>
      <w:r w:rsidRPr="001F7686">
        <w:rPr>
          <w:b/>
          <w:i/>
          <w:vertAlign w:val="superscript"/>
        </w:rPr>
        <w:t>st</w:t>
      </w:r>
      <w:r w:rsidRPr="001F7686">
        <w:rPr>
          <w:b/>
          <w:i/>
        </w:rPr>
        <w:t xml:space="preserve"> Century Act</w:t>
      </w:r>
      <w:r>
        <w:t xml:space="preserve">, also known as </w:t>
      </w:r>
      <w:r w:rsidRPr="00171ECC">
        <w:rPr>
          <w:b/>
          <w:i/>
        </w:rPr>
        <w:t>Perkins V</w:t>
      </w:r>
      <w:r>
        <w:t>, was signed into law by P</w:t>
      </w:r>
      <w:r w:rsidR="001F7686">
        <w:t>resident Trump on July</w:t>
      </w:r>
      <w:r w:rsidR="00783ABE">
        <w:t xml:space="preserve"> 31</w:t>
      </w:r>
      <w:r w:rsidR="001F7686">
        <w:t>, 2018 and goes into effect July</w:t>
      </w:r>
      <w:r w:rsidR="00783ABE">
        <w:t xml:space="preserve"> 1,</w:t>
      </w:r>
      <w:r w:rsidR="001F7686">
        <w:t xml:space="preserve"> 2019.  </w:t>
      </w:r>
      <w:r w:rsidR="00E97F68">
        <w:t xml:space="preserve">Perkins V provides </w:t>
      </w:r>
      <w:r w:rsidR="00E97F68" w:rsidRPr="00C8657B">
        <w:t xml:space="preserve">the </w:t>
      </w:r>
      <w:r w:rsidR="00235622" w:rsidRPr="00CD030B">
        <w:t>c</w:t>
      </w:r>
      <w:r w:rsidR="00235622" w:rsidRPr="00C8657B">
        <w:t>harge</w:t>
      </w:r>
      <w:r w:rsidR="00235622">
        <w:t xml:space="preserve"> </w:t>
      </w:r>
      <w:r w:rsidR="00E97F68">
        <w:t xml:space="preserve">and funding to support high-quality Career and Technical Education </w:t>
      </w:r>
      <w:r w:rsidR="005C7D3D">
        <w:t xml:space="preserve">(CTE) </w:t>
      </w:r>
      <w:r w:rsidR="00E97F68">
        <w:t xml:space="preserve">Programs that meet both student and employer needs.  </w:t>
      </w:r>
      <w:r w:rsidR="00356B75" w:rsidRPr="00C04660">
        <w:t>Perkins V</w:t>
      </w:r>
      <w:r w:rsidR="00356B75">
        <w:t xml:space="preserve"> reauthorizes previous Perkins legislation</w:t>
      </w:r>
      <w:r w:rsidR="00783ABE">
        <w:t xml:space="preserve">, but includes changes that will affect your </w:t>
      </w:r>
      <w:r w:rsidR="009617F2">
        <w:t>district and schools</w:t>
      </w:r>
      <w:r w:rsidR="00783ABE">
        <w:t xml:space="preserve">.  </w:t>
      </w:r>
    </w:p>
    <w:p w14:paraId="0EAB4E8D" w14:textId="2F7AFCBE" w:rsidR="0085522D" w:rsidRPr="0085522D" w:rsidRDefault="00D36E10" w:rsidP="00C65B60">
      <w:pPr>
        <w:jc w:val="both"/>
      </w:pPr>
      <w:r>
        <w:t>School districts</w:t>
      </w:r>
      <w:r w:rsidR="003F3DC2">
        <w:t xml:space="preserve"> </w:t>
      </w:r>
      <w:r w:rsidR="0081420B">
        <w:t xml:space="preserve">currently </w:t>
      </w:r>
      <w:r w:rsidR="003F3DC2">
        <w:t xml:space="preserve">belong to </w:t>
      </w:r>
      <w:r w:rsidR="00356B75">
        <w:t xml:space="preserve">one of 26 </w:t>
      </w:r>
      <w:r w:rsidR="003F3DC2" w:rsidRPr="00727740">
        <w:t xml:space="preserve">Perkins </w:t>
      </w:r>
      <w:r w:rsidR="00734E11" w:rsidRPr="00727740">
        <w:t>consorti</w:t>
      </w:r>
      <w:r w:rsidR="00356B75" w:rsidRPr="00727740">
        <w:t>a</w:t>
      </w:r>
      <w:r w:rsidR="00734E11">
        <w:t xml:space="preserve"> that receiv</w:t>
      </w:r>
      <w:r w:rsidR="003F3DC2">
        <w:t>e</w:t>
      </w:r>
      <w:r w:rsidR="00734E11">
        <w:t xml:space="preserve"> Federal Perkins fund</w:t>
      </w:r>
      <w:r w:rsidR="00CE6C0E">
        <w:t>ing</w:t>
      </w:r>
      <w:r w:rsidR="00734E11">
        <w:t xml:space="preserve"> to support Career and Technical Education </w:t>
      </w:r>
      <w:r w:rsidR="00964D54">
        <w:t>(CTE</w:t>
      </w:r>
      <w:r w:rsidR="003F3DC2">
        <w:t>)</w:t>
      </w:r>
      <w:r w:rsidR="00964D54">
        <w:t>.</w:t>
      </w:r>
      <w:r w:rsidR="00783ABE">
        <w:t xml:space="preserve">  </w:t>
      </w:r>
      <w:r w:rsidR="00356B75">
        <w:t xml:space="preserve">With the passage of the </w:t>
      </w:r>
      <w:r w:rsidR="00356B75" w:rsidRPr="00C04660">
        <w:t>Perkins V</w:t>
      </w:r>
      <w:r w:rsidR="00356B75">
        <w:t xml:space="preserve"> law, </w:t>
      </w:r>
      <w:r w:rsidR="00727740">
        <w:t xml:space="preserve">the </w:t>
      </w:r>
      <w:r w:rsidR="00AD2D4C">
        <w:t>requirement for consortia-level (secondary &amp; postsecondary) planning, budgeting</w:t>
      </w:r>
      <w:r w:rsidR="00356B75">
        <w:t xml:space="preserve">, </w:t>
      </w:r>
      <w:r w:rsidR="00AD2D4C">
        <w:t xml:space="preserve">and implementation will continue.  </w:t>
      </w:r>
      <w:r w:rsidR="00386D2B" w:rsidRPr="00386D2B">
        <w:rPr>
          <w:iCs/>
        </w:rPr>
        <w:t>During the transition period there should</w:t>
      </w:r>
      <w:r w:rsidR="00386D2B">
        <w:rPr>
          <w:iCs/>
        </w:rPr>
        <w:t xml:space="preserve"> </w:t>
      </w:r>
      <w:r w:rsidR="00D7184D">
        <w:rPr>
          <w:iCs/>
        </w:rPr>
        <w:t xml:space="preserve">also </w:t>
      </w:r>
      <w:r w:rsidR="00386D2B">
        <w:rPr>
          <w:iCs/>
        </w:rPr>
        <w:t>be</w:t>
      </w:r>
      <w:r w:rsidR="00D7184D">
        <w:rPr>
          <w:iCs/>
        </w:rPr>
        <w:t xml:space="preserve"> an</w:t>
      </w:r>
      <w:r w:rsidR="00386D2B" w:rsidRPr="00386D2B">
        <w:rPr>
          <w:iCs/>
        </w:rPr>
        <w:t xml:space="preserve"> examination of consortia </w:t>
      </w:r>
      <w:r w:rsidR="00386D2B">
        <w:rPr>
          <w:iCs/>
        </w:rPr>
        <w:t xml:space="preserve">membership and alignment of programs and regional workforce needs. </w:t>
      </w:r>
      <w:r w:rsidR="00AD2D4C">
        <w:t>F</w:t>
      </w:r>
      <w:r w:rsidR="00356B75">
        <w:t xml:space="preserve">uture state funding levels will </w:t>
      </w:r>
      <w:r w:rsidR="00AD2D4C">
        <w:t>depend</w:t>
      </w:r>
      <w:r w:rsidR="00356B75">
        <w:t xml:space="preserve"> on </w:t>
      </w:r>
      <w:r w:rsidR="0081420B">
        <w:t>annual appropriations</w:t>
      </w:r>
      <w:r w:rsidR="00356B75">
        <w:t xml:space="preserve"> by Congress</w:t>
      </w:r>
      <w:r w:rsidR="00915259">
        <w:t xml:space="preserve"> and </w:t>
      </w:r>
      <w:r w:rsidR="00727740">
        <w:t xml:space="preserve">signed into law </w:t>
      </w:r>
      <w:r w:rsidR="00915259">
        <w:t>by the President</w:t>
      </w:r>
      <w:r w:rsidR="00356B75">
        <w:t xml:space="preserve">.  </w:t>
      </w:r>
      <w:r w:rsidR="0085522D" w:rsidRPr="0085522D">
        <w:t xml:space="preserve">The </w:t>
      </w:r>
      <w:r w:rsidR="000F55C7">
        <w:t xml:space="preserve">flow of federal funds to the state </w:t>
      </w:r>
      <w:r w:rsidR="0085522D" w:rsidRPr="0085522D">
        <w:t>will remain the same.  District</w:t>
      </w:r>
      <w:r w:rsidR="000F55C7">
        <w:t xml:space="preserve">s with approved </w:t>
      </w:r>
      <w:r w:rsidR="0085522D" w:rsidRPr="0085522D">
        <w:t xml:space="preserve">CTE </w:t>
      </w:r>
      <w:r w:rsidR="000F55C7" w:rsidRPr="0085522D">
        <w:t>programs</w:t>
      </w:r>
      <w:r w:rsidR="0085522D" w:rsidRPr="0085522D">
        <w:t xml:space="preserve"> will still have the opportunity to utilize Perkins funds from the consortia based on each consortia-approved plan.</w:t>
      </w:r>
    </w:p>
    <w:p w14:paraId="10A712CE" w14:textId="77777777" w:rsidR="007B2F30" w:rsidRPr="00783ABE" w:rsidRDefault="007B2F30" w:rsidP="0085522D">
      <w:pPr>
        <w:jc w:val="both"/>
        <w:rPr>
          <w:sz w:val="28"/>
          <w:szCs w:val="28"/>
        </w:rPr>
      </w:pPr>
      <w:r w:rsidRPr="00783ABE">
        <w:rPr>
          <w:i/>
          <w:sz w:val="28"/>
          <w:szCs w:val="28"/>
        </w:rPr>
        <w:t xml:space="preserve">How will </w:t>
      </w:r>
      <w:r>
        <w:rPr>
          <w:i/>
          <w:sz w:val="28"/>
          <w:szCs w:val="28"/>
        </w:rPr>
        <w:t xml:space="preserve">Perkins V </w:t>
      </w:r>
      <w:r w:rsidRPr="00783ABE">
        <w:rPr>
          <w:i/>
          <w:sz w:val="28"/>
          <w:szCs w:val="28"/>
        </w:rPr>
        <w:t xml:space="preserve">impact your </w:t>
      </w:r>
      <w:r w:rsidR="00D36E10">
        <w:rPr>
          <w:i/>
          <w:sz w:val="28"/>
          <w:szCs w:val="28"/>
        </w:rPr>
        <w:t>district</w:t>
      </w:r>
      <w:r w:rsidRPr="00783ABE">
        <w:rPr>
          <w:i/>
          <w:sz w:val="28"/>
          <w:szCs w:val="28"/>
        </w:rPr>
        <w:t xml:space="preserve">? </w:t>
      </w:r>
      <w:r w:rsidRPr="00783ABE">
        <w:rPr>
          <w:sz w:val="28"/>
          <w:szCs w:val="28"/>
        </w:rPr>
        <w:t xml:space="preserve"> </w:t>
      </w:r>
    </w:p>
    <w:p w14:paraId="74891258" w14:textId="77777777" w:rsidR="005A1746" w:rsidRDefault="005A1746" w:rsidP="00874ACD">
      <w:pPr>
        <w:pStyle w:val="ListParagraph"/>
        <w:numPr>
          <w:ilvl w:val="0"/>
          <w:numId w:val="1"/>
        </w:numPr>
        <w:spacing w:after="80"/>
        <w:contextualSpacing w:val="0"/>
      </w:pPr>
      <w:r>
        <w:t xml:space="preserve">Following a one-year transition </w:t>
      </w:r>
      <w:r w:rsidR="00291E29">
        <w:t>application</w:t>
      </w:r>
      <w:r>
        <w:t xml:space="preserve"> covering the period July 1, 2019 through June 30, 2020, consortia Perkins Grant application</w:t>
      </w:r>
      <w:r w:rsidR="00584F42">
        <w:t xml:space="preserve">s will </w:t>
      </w:r>
      <w:r w:rsidR="005061F6">
        <w:t>cover</w:t>
      </w:r>
      <w:r w:rsidR="00A96E95">
        <w:t xml:space="preserve"> </w:t>
      </w:r>
      <w:r w:rsidR="005061F6">
        <w:t xml:space="preserve">a </w:t>
      </w:r>
      <w:r>
        <w:t>t</w:t>
      </w:r>
      <w:r w:rsidR="005061F6">
        <w:t>wo</w:t>
      </w:r>
      <w:r w:rsidR="004E2A35">
        <w:t>-</w:t>
      </w:r>
      <w:r w:rsidR="005061F6">
        <w:t>year period</w:t>
      </w:r>
      <w:r>
        <w:t>.  The first two-year application will be due to the State on May 15, 2020 for the period July 1, 2020 through June 30, 2022.</w:t>
      </w:r>
      <w:r w:rsidR="00AD2D4C">
        <w:t xml:space="preserve">  Spending is in accordance with an approved local application.</w:t>
      </w:r>
    </w:p>
    <w:p w14:paraId="4991ABEF" w14:textId="7D86510D" w:rsidR="00171ECC" w:rsidRDefault="00C0613A" w:rsidP="00874ACD">
      <w:pPr>
        <w:pStyle w:val="ListParagraph"/>
        <w:numPr>
          <w:ilvl w:val="0"/>
          <w:numId w:val="1"/>
        </w:numPr>
        <w:spacing w:after="80"/>
        <w:contextualSpacing w:val="0"/>
      </w:pPr>
      <w:r>
        <w:t>S</w:t>
      </w:r>
      <w:r w:rsidR="005061F6">
        <w:t xml:space="preserve">ignificant new component of Perkins V </w:t>
      </w:r>
      <w:r>
        <w:t>include using a</w:t>
      </w:r>
      <w:r w:rsidR="005061F6">
        <w:t xml:space="preserve"> </w:t>
      </w:r>
      <w:r w:rsidR="005061F6" w:rsidRPr="00E13360">
        <w:rPr>
          <w:b/>
          <w:i/>
          <w:u w:val="single"/>
        </w:rPr>
        <w:t>comprehensive local needs assessment</w:t>
      </w:r>
      <w:r w:rsidR="005061F6">
        <w:t xml:space="preserve"> </w:t>
      </w:r>
      <w:r>
        <w:t>to support</w:t>
      </w:r>
      <w:r w:rsidR="005061F6">
        <w:t xml:space="preserve"> data-driven decision-making</w:t>
      </w:r>
      <w:r>
        <w:t xml:space="preserve"> and expanded stakeholder consultation to develop </w:t>
      </w:r>
      <w:r w:rsidR="00A96E95">
        <w:t>local programming</w:t>
      </w:r>
      <w:r w:rsidR="009617F2">
        <w:t xml:space="preserve"> and spending </w:t>
      </w:r>
      <w:r>
        <w:t>plans</w:t>
      </w:r>
      <w:r w:rsidR="00A96E95">
        <w:t>.</w:t>
      </w:r>
      <w:r w:rsidR="005061F6">
        <w:t xml:space="preserve">  </w:t>
      </w:r>
      <w:r w:rsidR="004E2A35">
        <w:t>The l</w:t>
      </w:r>
      <w:r w:rsidR="005061F6">
        <w:t xml:space="preserve">ocal needs assessment </w:t>
      </w:r>
      <w:r>
        <w:t xml:space="preserve">is to </w:t>
      </w:r>
      <w:r w:rsidR="005061F6">
        <w:t>be completed at the</w:t>
      </w:r>
      <w:r w:rsidR="004E2A35">
        <w:t xml:space="preserve"> b</w:t>
      </w:r>
      <w:r w:rsidR="005061F6">
        <w:t>eginning of Perkin</w:t>
      </w:r>
      <w:r w:rsidR="004E2A35">
        <w:t>s</w:t>
      </w:r>
      <w:r w:rsidR="005061F6">
        <w:t xml:space="preserve"> V implementation</w:t>
      </w:r>
      <w:r w:rsidR="004E2A35">
        <w:t>,</w:t>
      </w:r>
      <w:r w:rsidR="005061F6">
        <w:t xml:space="preserve"> with results included</w:t>
      </w:r>
      <w:r w:rsidR="009617F2">
        <w:t xml:space="preserve"> and locally-determined needs addressed</w:t>
      </w:r>
      <w:r w:rsidR="005061F6">
        <w:t xml:space="preserve"> in the local application</w:t>
      </w:r>
      <w:r w:rsidR="0085522D">
        <w:t xml:space="preserve"> and updated a minimum of every two years. </w:t>
      </w:r>
    </w:p>
    <w:p w14:paraId="747DD44D" w14:textId="77777777" w:rsidR="003B4300" w:rsidRDefault="003B4300" w:rsidP="00874ACD">
      <w:pPr>
        <w:pStyle w:val="ListParagraph"/>
        <w:numPr>
          <w:ilvl w:val="0"/>
          <w:numId w:val="1"/>
        </w:numPr>
        <w:spacing w:after="80"/>
        <w:contextualSpacing w:val="0"/>
      </w:pPr>
      <w:r>
        <w:t xml:space="preserve">Accountability for results </w:t>
      </w:r>
      <w:r w:rsidR="00A74602">
        <w:t>continues to be</w:t>
      </w:r>
      <w:r>
        <w:t xml:space="preserve"> a </w:t>
      </w:r>
      <w:r w:rsidR="00584F42">
        <w:t xml:space="preserve">focus </w:t>
      </w:r>
      <w:r>
        <w:t xml:space="preserve">under Perkins V; Perkins consortia </w:t>
      </w:r>
      <w:r w:rsidR="00584F42">
        <w:t>outcomes will be compared to</w:t>
      </w:r>
      <w:r>
        <w:t xml:space="preserve"> State-determined performance levels</w:t>
      </w:r>
      <w:r w:rsidR="00AD2D4C">
        <w:t>, with emphasis on special populations</w:t>
      </w:r>
      <w:r>
        <w:t xml:space="preserve">.  </w:t>
      </w:r>
    </w:p>
    <w:p w14:paraId="1A467E11" w14:textId="77777777" w:rsidR="005A1746" w:rsidRDefault="005A1746" w:rsidP="00976644">
      <w:pPr>
        <w:pStyle w:val="ListParagraph"/>
        <w:numPr>
          <w:ilvl w:val="0"/>
          <w:numId w:val="1"/>
        </w:numPr>
        <w:spacing w:after="240"/>
        <w:contextualSpacing w:val="0"/>
      </w:pPr>
      <w:r>
        <w:t>The person responsible for</w:t>
      </w:r>
      <w:r w:rsidR="00091186">
        <w:t xml:space="preserve"> managing</w:t>
      </w:r>
      <w:r>
        <w:t xml:space="preserve"> the Perkins Grant at your </w:t>
      </w:r>
      <w:r w:rsidR="009617F2">
        <w:t xml:space="preserve">consortium </w:t>
      </w:r>
      <w:r>
        <w:t xml:space="preserve">(secondary </w:t>
      </w:r>
      <w:r w:rsidR="00C04660">
        <w:t>c</w:t>
      </w:r>
      <w:r>
        <w:t xml:space="preserve">oordinator) must </w:t>
      </w:r>
      <w:r w:rsidR="00584F42">
        <w:t xml:space="preserve">collaborate </w:t>
      </w:r>
      <w:r w:rsidR="009617F2">
        <w:t>closely with the</w:t>
      </w:r>
      <w:r w:rsidR="00921D95">
        <w:t xml:space="preserve"> </w:t>
      </w:r>
      <w:r w:rsidR="009617F2">
        <w:t xml:space="preserve">consortium </w:t>
      </w:r>
      <w:r w:rsidR="00D36E10">
        <w:t>post</w:t>
      </w:r>
      <w:r w:rsidR="00921D95">
        <w:t xml:space="preserve">secondary partner and </w:t>
      </w:r>
      <w:r w:rsidR="00584F42">
        <w:t xml:space="preserve">to identify and implement </w:t>
      </w:r>
      <w:r>
        <w:t xml:space="preserve">the resources and </w:t>
      </w:r>
      <w:r w:rsidR="00921D95">
        <w:t xml:space="preserve">leadership </w:t>
      </w:r>
      <w:r w:rsidR="004E2A35">
        <w:t>necessary</w:t>
      </w:r>
      <w:r>
        <w:t xml:space="preserve"> to meet </w:t>
      </w:r>
      <w:r w:rsidR="00A74602">
        <w:t>additional requirements of Perkins V.</w:t>
      </w:r>
      <w:r w:rsidR="00921D95">
        <w:t xml:space="preserve">  </w:t>
      </w:r>
    </w:p>
    <w:p w14:paraId="1D5F21D4" w14:textId="77777777" w:rsidR="004E2A35" w:rsidRPr="005C7D3D" w:rsidRDefault="00841345" w:rsidP="00874ACD">
      <w:pPr>
        <w:spacing w:before="80" w:after="120"/>
        <w:rPr>
          <w:i/>
          <w:sz w:val="28"/>
          <w:szCs w:val="28"/>
        </w:rPr>
      </w:pPr>
      <w:r>
        <w:rPr>
          <w:i/>
          <w:sz w:val="28"/>
          <w:szCs w:val="28"/>
        </w:rPr>
        <w:t>Timeline for Perkins V Implementation</w:t>
      </w:r>
      <w:r w:rsidR="00AE216C" w:rsidRPr="005C7D3D">
        <w:rPr>
          <w:i/>
          <w:sz w:val="28"/>
          <w:szCs w:val="28"/>
        </w:rPr>
        <w:t>:</w:t>
      </w:r>
    </w:p>
    <w:p w14:paraId="65A178B6" w14:textId="77777777" w:rsidR="00841345" w:rsidRDefault="002E11AB">
      <w:r>
        <w:rPr>
          <w:noProof/>
        </w:rPr>
        <w:drawing>
          <wp:inline distT="0" distB="0" distL="0" distR="0" wp14:anchorId="7A2D9C19" wp14:editId="42CA6FC8">
            <wp:extent cx="5886450" cy="952500"/>
            <wp:effectExtent l="19050" t="0" r="1905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7EA0CEE1" w14:textId="77777777" w:rsidR="00E97F68" w:rsidRDefault="00841345">
      <w:r>
        <w:lastRenderedPageBreak/>
        <w:t>I</w:t>
      </w:r>
      <w:r w:rsidR="003B4300">
        <w:t xml:space="preserve">f you have questions about </w:t>
      </w:r>
      <w:r w:rsidR="005C7D3D" w:rsidRPr="00AD32DF">
        <w:t>Perkins V</w:t>
      </w:r>
      <w:r w:rsidR="003B4300">
        <w:t xml:space="preserve">, contact </w:t>
      </w:r>
      <w:r w:rsidR="00D36E10">
        <w:t xml:space="preserve">Michelle </w:t>
      </w:r>
      <w:proofErr w:type="spellStart"/>
      <w:r w:rsidR="00D36E10">
        <w:t>Kamenov</w:t>
      </w:r>
      <w:proofErr w:type="spellEnd"/>
      <w:r w:rsidR="003B4300">
        <w:t xml:space="preserve">, State CTE </w:t>
      </w:r>
      <w:r w:rsidR="00D36E10">
        <w:t>Supervisor</w:t>
      </w:r>
      <w:r w:rsidR="005C7D3D">
        <w:t xml:space="preserve"> </w:t>
      </w:r>
      <w:r w:rsidR="003B4300">
        <w:t>at (651)-</w:t>
      </w:r>
      <w:r w:rsidR="00D36E10">
        <w:t>582-8434</w:t>
      </w:r>
      <w:r w:rsidR="005C7D3D">
        <w:t>.</w:t>
      </w:r>
      <w:r w:rsidR="00181076">
        <w:t xml:space="preserve">  </w:t>
      </w:r>
    </w:p>
    <w:sectPr w:rsidR="00E97F68" w:rsidSect="004C5906">
      <w:headerReference w:type="default" r:id="rId13"/>
      <w:type w:val="continuous"/>
      <w:pgSz w:w="12240" w:h="15840"/>
      <w:pgMar w:top="144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972E5" w14:textId="77777777" w:rsidR="006125FE" w:rsidRDefault="006125FE" w:rsidP="005C7D3D">
      <w:pPr>
        <w:spacing w:after="0" w:line="240" w:lineRule="auto"/>
      </w:pPr>
      <w:r>
        <w:separator/>
      </w:r>
    </w:p>
  </w:endnote>
  <w:endnote w:type="continuationSeparator" w:id="0">
    <w:p w14:paraId="76795E9E" w14:textId="77777777" w:rsidR="006125FE" w:rsidRDefault="006125FE" w:rsidP="005C7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E4442" w14:textId="77777777" w:rsidR="006125FE" w:rsidRDefault="006125FE" w:rsidP="005C7D3D">
      <w:pPr>
        <w:spacing w:after="0" w:line="240" w:lineRule="auto"/>
      </w:pPr>
      <w:r>
        <w:separator/>
      </w:r>
    </w:p>
  </w:footnote>
  <w:footnote w:type="continuationSeparator" w:id="0">
    <w:p w14:paraId="2F80F575" w14:textId="77777777" w:rsidR="006125FE" w:rsidRDefault="006125FE" w:rsidP="005C7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E0C7C" w14:textId="77777777" w:rsidR="00DF0562" w:rsidRDefault="00DF0562" w:rsidP="00DF0562">
    <w:pPr>
      <w:pStyle w:val="Heading1"/>
      <w:spacing w:before="0" w:after="120"/>
      <w:rPr>
        <w:sz w:val="24"/>
        <w:szCs w:val="24"/>
      </w:rPr>
    </w:pPr>
  </w:p>
  <w:p w14:paraId="4B01B947" w14:textId="77777777" w:rsidR="004C5906" w:rsidRPr="004C5906" w:rsidRDefault="004C5906" w:rsidP="004C5906">
    <w:r>
      <w:rPr>
        <w:noProof/>
      </w:rPr>
      <w:drawing>
        <wp:inline distT="0" distB="0" distL="0" distR="0" wp14:anchorId="326E1225" wp14:editId="43BAE41E">
          <wp:extent cx="2543175" cy="476250"/>
          <wp:effectExtent l="0" t="0" r="9525" b="0"/>
          <wp:docPr id="1" name="Picture 1" descr="Minnesota 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0293" cy="483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2DB688" w14:textId="77777777" w:rsidR="00707482" w:rsidRDefault="00707482" w:rsidP="00DF0562">
    <w:pPr>
      <w:pStyle w:val="Heading1"/>
      <w:spacing w:before="120" w:after="120"/>
      <w:rPr>
        <w:color w:val="00A353"/>
        <w:sz w:val="24"/>
        <w:szCs w:val="24"/>
      </w:rPr>
    </w:pPr>
    <w:r>
      <w:rPr>
        <w:sz w:val="24"/>
        <w:szCs w:val="24"/>
      </w:rPr>
      <w:t>Strengthening Career and Technical Education for the 21</w:t>
    </w:r>
    <w:r>
      <w:rPr>
        <w:sz w:val="24"/>
        <w:szCs w:val="24"/>
        <w:vertAlign w:val="superscript"/>
      </w:rPr>
      <w:t>st</w:t>
    </w:r>
    <w:r>
      <w:rPr>
        <w:sz w:val="24"/>
        <w:szCs w:val="24"/>
      </w:rPr>
      <w:t xml:space="preserve"> Century (Perkins V</w:t>
    </w:r>
    <w:proofErr w:type="gramStart"/>
    <w:r>
      <w:rPr>
        <w:sz w:val="24"/>
        <w:szCs w:val="24"/>
      </w:rPr>
      <w:t>)</w:t>
    </w:r>
    <w:proofErr w:type="gramEnd"/>
    <w:r>
      <w:rPr>
        <w:sz w:val="24"/>
        <w:szCs w:val="24"/>
      </w:rPr>
      <w:br/>
    </w:r>
    <w:r>
      <w:rPr>
        <w:color w:val="00A353"/>
        <w:sz w:val="24"/>
        <w:szCs w:val="24"/>
      </w:rPr>
      <w:t>An amendment to Carl D. Perkins Career and Technical Education Act IV</w:t>
    </w:r>
  </w:p>
  <w:p w14:paraId="20C03BCD" w14:textId="77777777" w:rsidR="005C7D3D" w:rsidRPr="004602B2" w:rsidRDefault="004602B2" w:rsidP="004D39CF">
    <w:pPr>
      <w:pStyle w:val="Header"/>
      <w:spacing w:after="120"/>
      <w:ind w:left="2520"/>
      <w:rPr>
        <w:b/>
        <w:sz w:val="24"/>
        <w:szCs w:val="24"/>
      </w:rPr>
    </w:pPr>
    <w:r w:rsidRPr="004602B2">
      <w:rPr>
        <w:b/>
        <w:sz w:val="24"/>
        <w:szCs w:val="24"/>
      </w:rPr>
      <w:t xml:space="preserve">Summary for </w:t>
    </w:r>
    <w:r w:rsidR="009617F2">
      <w:rPr>
        <w:b/>
        <w:sz w:val="24"/>
        <w:szCs w:val="24"/>
      </w:rPr>
      <w:t>Secondary Administrators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5629A"/>
    <w:multiLevelType w:val="hybridMultilevel"/>
    <w:tmpl w:val="98961EAA"/>
    <w:lvl w:ilvl="0" w:tplc="F064B3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F7EE3"/>
    <w:multiLevelType w:val="hybridMultilevel"/>
    <w:tmpl w:val="7C6E1B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FB"/>
    <w:rsid w:val="000530EC"/>
    <w:rsid w:val="00091186"/>
    <w:rsid w:val="000F55C7"/>
    <w:rsid w:val="0011534E"/>
    <w:rsid w:val="00135AC4"/>
    <w:rsid w:val="00135FF2"/>
    <w:rsid w:val="00153156"/>
    <w:rsid w:val="00171ECC"/>
    <w:rsid w:val="00181076"/>
    <w:rsid w:val="0018700B"/>
    <w:rsid w:val="001F7686"/>
    <w:rsid w:val="00203106"/>
    <w:rsid w:val="00207547"/>
    <w:rsid w:val="00212270"/>
    <w:rsid w:val="00235622"/>
    <w:rsid w:val="00236931"/>
    <w:rsid w:val="002834CA"/>
    <w:rsid w:val="00286E9C"/>
    <w:rsid w:val="00291E29"/>
    <w:rsid w:val="002C40D7"/>
    <w:rsid w:val="002C6E11"/>
    <w:rsid w:val="002E11AB"/>
    <w:rsid w:val="003065D3"/>
    <w:rsid w:val="00325E9C"/>
    <w:rsid w:val="00356B75"/>
    <w:rsid w:val="00386D2B"/>
    <w:rsid w:val="003B17AA"/>
    <w:rsid w:val="003B4300"/>
    <w:rsid w:val="003D3A5D"/>
    <w:rsid w:val="003F0FB1"/>
    <w:rsid w:val="003F3DC2"/>
    <w:rsid w:val="004252D9"/>
    <w:rsid w:val="004602B2"/>
    <w:rsid w:val="00496F11"/>
    <w:rsid w:val="004B17F3"/>
    <w:rsid w:val="004C5906"/>
    <w:rsid w:val="004D39CF"/>
    <w:rsid w:val="004D5824"/>
    <w:rsid w:val="004D6B00"/>
    <w:rsid w:val="004E2A35"/>
    <w:rsid w:val="004F0865"/>
    <w:rsid w:val="005061F6"/>
    <w:rsid w:val="005732FB"/>
    <w:rsid w:val="00584F42"/>
    <w:rsid w:val="005A1746"/>
    <w:rsid w:val="005A406E"/>
    <w:rsid w:val="005C7D3D"/>
    <w:rsid w:val="005D0448"/>
    <w:rsid w:val="005E1636"/>
    <w:rsid w:val="006125FE"/>
    <w:rsid w:val="00652D7A"/>
    <w:rsid w:val="00657870"/>
    <w:rsid w:val="006E6330"/>
    <w:rsid w:val="00707482"/>
    <w:rsid w:val="00722503"/>
    <w:rsid w:val="00727740"/>
    <w:rsid w:val="00734E11"/>
    <w:rsid w:val="00754EFB"/>
    <w:rsid w:val="00783ABE"/>
    <w:rsid w:val="007B2F30"/>
    <w:rsid w:val="007E6485"/>
    <w:rsid w:val="007F1512"/>
    <w:rsid w:val="0081420B"/>
    <w:rsid w:val="008267F0"/>
    <w:rsid w:val="00841345"/>
    <w:rsid w:val="0085522D"/>
    <w:rsid w:val="008614DB"/>
    <w:rsid w:val="00874ACD"/>
    <w:rsid w:val="0087548F"/>
    <w:rsid w:val="00886604"/>
    <w:rsid w:val="008D0A4C"/>
    <w:rsid w:val="008F307D"/>
    <w:rsid w:val="00915259"/>
    <w:rsid w:val="00921D95"/>
    <w:rsid w:val="00923991"/>
    <w:rsid w:val="009617F2"/>
    <w:rsid w:val="00964D54"/>
    <w:rsid w:val="00976644"/>
    <w:rsid w:val="00A63616"/>
    <w:rsid w:val="00A74602"/>
    <w:rsid w:val="00A75FFA"/>
    <w:rsid w:val="00A96E95"/>
    <w:rsid w:val="00AD2D4C"/>
    <w:rsid w:val="00AD32DF"/>
    <w:rsid w:val="00AE216C"/>
    <w:rsid w:val="00AF2290"/>
    <w:rsid w:val="00B04B53"/>
    <w:rsid w:val="00B06871"/>
    <w:rsid w:val="00B6277F"/>
    <w:rsid w:val="00B81FD8"/>
    <w:rsid w:val="00BF7BE6"/>
    <w:rsid w:val="00C04660"/>
    <w:rsid w:val="00C0613A"/>
    <w:rsid w:val="00C0689C"/>
    <w:rsid w:val="00C65B60"/>
    <w:rsid w:val="00C8657B"/>
    <w:rsid w:val="00C87437"/>
    <w:rsid w:val="00CD030B"/>
    <w:rsid w:val="00CE6C0E"/>
    <w:rsid w:val="00D36E10"/>
    <w:rsid w:val="00D7184D"/>
    <w:rsid w:val="00D977A4"/>
    <w:rsid w:val="00DF0562"/>
    <w:rsid w:val="00E13360"/>
    <w:rsid w:val="00E94127"/>
    <w:rsid w:val="00E97F68"/>
    <w:rsid w:val="00EF559B"/>
    <w:rsid w:val="00F77F60"/>
    <w:rsid w:val="00F830E0"/>
    <w:rsid w:val="00FB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54B52"/>
  <w15:chartTrackingRefBased/>
  <w15:docId w15:val="{385F0F72-E8B1-4DBF-9652-B4100F8A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7482"/>
    <w:pPr>
      <w:keepNext/>
      <w:keepLines/>
      <w:spacing w:before="240" w:after="360" w:line="240" w:lineRule="auto"/>
      <w:jc w:val="center"/>
      <w:outlineLvl w:val="0"/>
    </w:pPr>
    <w:rPr>
      <w:rFonts w:asciiTheme="majorHAnsi" w:eastAsiaTheme="majorEastAsia" w:hAnsiTheme="majorHAnsi" w:cstheme="majorBidi"/>
      <w:b/>
      <w:caps/>
      <w:color w:val="44546A" w:themeColor="text2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D3D"/>
  </w:style>
  <w:style w:type="paragraph" w:styleId="Footer">
    <w:name w:val="footer"/>
    <w:basedOn w:val="Normal"/>
    <w:link w:val="FooterChar"/>
    <w:uiPriority w:val="99"/>
    <w:unhideWhenUsed/>
    <w:rsid w:val="005C7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D3D"/>
  </w:style>
  <w:style w:type="paragraph" w:styleId="ListParagraph">
    <w:name w:val="List Paragraph"/>
    <w:basedOn w:val="Normal"/>
    <w:uiPriority w:val="34"/>
    <w:qFormat/>
    <w:rsid w:val="0091525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07482"/>
    <w:rPr>
      <w:rFonts w:asciiTheme="majorHAnsi" w:eastAsiaTheme="majorEastAsia" w:hAnsiTheme="majorHAnsi" w:cstheme="majorBidi"/>
      <w:b/>
      <w:caps/>
      <w:color w:val="44546A" w:themeColor="text2"/>
      <w:sz w:val="4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C0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14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2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2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2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2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8DD333-223F-46BD-8680-EED781634641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B9B29830-C808-497F-8D9F-7B2084B21BF7}">
      <dgm:prSet phldrT="[Text]" custT="1"/>
      <dgm:spPr/>
      <dgm:t>
        <a:bodyPr/>
        <a:lstStyle/>
        <a:p>
          <a:pPr algn="l"/>
          <a:r>
            <a:rPr lang="en-US" sz="1050" b="1"/>
            <a:t>May 15, 2019 </a:t>
          </a:r>
        </a:p>
        <a:p>
          <a:pPr algn="l"/>
          <a:r>
            <a:rPr lang="en-US" sz="1000"/>
            <a:t>Submit local 1-year transition application</a:t>
          </a:r>
        </a:p>
      </dgm:t>
    </dgm:pt>
    <dgm:pt modelId="{AB1C215D-2496-4031-BED5-CF2884EFB481}" type="parTrans" cxnId="{38632AAE-E722-4DF5-8AC6-D3D3E6BBAA7C}">
      <dgm:prSet/>
      <dgm:spPr/>
      <dgm:t>
        <a:bodyPr/>
        <a:lstStyle/>
        <a:p>
          <a:endParaRPr lang="en-US"/>
        </a:p>
      </dgm:t>
    </dgm:pt>
    <dgm:pt modelId="{1CE60860-71AB-4293-B121-644A185026B8}" type="sibTrans" cxnId="{38632AAE-E722-4DF5-8AC6-D3D3E6BBAA7C}">
      <dgm:prSet/>
      <dgm:spPr/>
      <dgm:t>
        <a:bodyPr/>
        <a:lstStyle/>
        <a:p>
          <a:endParaRPr lang="en-US"/>
        </a:p>
      </dgm:t>
    </dgm:pt>
    <dgm:pt modelId="{86D4ECD8-65DD-4142-AB43-1E08EBB541A4}">
      <dgm:prSet phldrT="[Text]" custT="1"/>
      <dgm:spPr/>
      <dgm:t>
        <a:bodyPr/>
        <a:lstStyle/>
        <a:p>
          <a:r>
            <a:rPr lang="en-US" sz="1050" b="1"/>
            <a:t>July 1, 2019</a:t>
          </a:r>
        </a:p>
        <a:p>
          <a:r>
            <a:rPr lang="en-US" sz="1000"/>
            <a:t>Transition year grant awarded</a:t>
          </a:r>
        </a:p>
      </dgm:t>
    </dgm:pt>
    <dgm:pt modelId="{36BE5379-5592-4B28-B7C3-BF5C8B027E4B}" type="parTrans" cxnId="{43697A42-231C-4B70-81AF-9570CA4F6461}">
      <dgm:prSet/>
      <dgm:spPr/>
      <dgm:t>
        <a:bodyPr/>
        <a:lstStyle/>
        <a:p>
          <a:endParaRPr lang="en-US"/>
        </a:p>
      </dgm:t>
    </dgm:pt>
    <dgm:pt modelId="{DE216CF6-63C6-406F-AF9A-9EC26F45091F}" type="sibTrans" cxnId="{43697A42-231C-4B70-81AF-9570CA4F6461}">
      <dgm:prSet/>
      <dgm:spPr/>
      <dgm:t>
        <a:bodyPr/>
        <a:lstStyle/>
        <a:p>
          <a:endParaRPr lang="en-US"/>
        </a:p>
      </dgm:t>
    </dgm:pt>
    <dgm:pt modelId="{1B385B0B-BD59-4DD3-853E-9A4DBD011627}">
      <dgm:prSet phldrT="[Text]" custT="1"/>
      <dgm:spPr/>
      <dgm:t>
        <a:bodyPr/>
        <a:lstStyle/>
        <a:p>
          <a:r>
            <a:rPr lang="en-US" sz="1050" b="1"/>
            <a:t>Fall 2019</a:t>
          </a:r>
        </a:p>
        <a:p>
          <a:r>
            <a:rPr lang="en-US" sz="1000"/>
            <a:t>Conduct Local Needs Assessment</a:t>
          </a:r>
        </a:p>
      </dgm:t>
    </dgm:pt>
    <dgm:pt modelId="{97A35657-99BD-4C26-9681-22950EB4C8C3}" type="parTrans" cxnId="{A584E904-B9A8-4FC6-8419-5DE3C97DC385}">
      <dgm:prSet/>
      <dgm:spPr/>
      <dgm:t>
        <a:bodyPr/>
        <a:lstStyle/>
        <a:p>
          <a:endParaRPr lang="en-US"/>
        </a:p>
      </dgm:t>
    </dgm:pt>
    <dgm:pt modelId="{472DE367-35F5-47B0-B864-17834B89C6B7}" type="sibTrans" cxnId="{A584E904-B9A8-4FC6-8419-5DE3C97DC385}">
      <dgm:prSet/>
      <dgm:spPr/>
      <dgm:t>
        <a:bodyPr/>
        <a:lstStyle/>
        <a:p>
          <a:endParaRPr lang="en-US"/>
        </a:p>
      </dgm:t>
    </dgm:pt>
    <dgm:pt modelId="{2297B4E5-695C-4BDA-B1FA-8BB4910F41F8}">
      <dgm:prSet custT="1"/>
      <dgm:spPr/>
      <dgm:t>
        <a:bodyPr/>
        <a:lstStyle/>
        <a:p>
          <a:r>
            <a:rPr lang="en-US" sz="1050" b="1"/>
            <a:t>July 1, 2020</a:t>
          </a:r>
        </a:p>
        <a:p>
          <a:r>
            <a:rPr lang="en-US" sz="1000"/>
            <a:t>2-year grant awarded</a:t>
          </a:r>
        </a:p>
      </dgm:t>
    </dgm:pt>
    <dgm:pt modelId="{8680AB3F-A9B3-4274-8F3D-4D2CA5F08A5C}" type="parTrans" cxnId="{1C4045FA-67F9-41F7-BA08-3F7A1D2BD602}">
      <dgm:prSet/>
      <dgm:spPr/>
      <dgm:t>
        <a:bodyPr/>
        <a:lstStyle/>
        <a:p>
          <a:endParaRPr lang="en-US"/>
        </a:p>
      </dgm:t>
    </dgm:pt>
    <dgm:pt modelId="{21CCCB37-9360-4EDA-82B5-9A3225975428}" type="sibTrans" cxnId="{1C4045FA-67F9-41F7-BA08-3F7A1D2BD602}">
      <dgm:prSet/>
      <dgm:spPr/>
      <dgm:t>
        <a:bodyPr/>
        <a:lstStyle/>
        <a:p>
          <a:endParaRPr lang="en-US"/>
        </a:p>
      </dgm:t>
    </dgm:pt>
    <dgm:pt modelId="{6E824BCF-7121-4F45-BC99-FD2EB8EE6383}">
      <dgm:prSet custT="1"/>
      <dgm:spPr/>
      <dgm:t>
        <a:bodyPr/>
        <a:lstStyle/>
        <a:p>
          <a:r>
            <a:rPr lang="en-US" sz="1050" b="1"/>
            <a:t>May 15, 2020</a:t>
          </a:r>
        </a:p>
        <a:p>
          <a:r>
            <a:rPr lang="en-US" sz="1000"/>
            <a:t>Submit initial 2-year Perkins Application</a:t>
          </a:r>
        </a:p>
      </dgm:t>
    </dgm:pt>
    <dgm:pt modelId="{67814E23-043A-4A29-90DF-8B2F4D7C4333}" type="sibTrans" cxnId="{28BC8830-EF51-4360-90AB-B9209DC9CC47}">
      <dgm:prSet/>
      <dgm:spPr/>
      <dgm:t>
        <a:bodyPr/>
        <a:lstStyle/>
        <a:p>
          <a:endParaRPr lang="en-US"/>
        </a:p>
      </dgm:t>
    </dgm:pt>
    <dgm:pt modelId="{599FDBD7-0F20-4AD3-B9A6-B840F5860380}" type="parTrans" cxnId="{28BC8830-EF51-4360-90AB-B9209DC9CC47}">
      <dgm:prSet/>
      <dgm:spPr/>
      <dgm:t>
        <a:bodyPr/>
        <a:lstStyle/>
        <a:p>
          <a:endParaRPr lang="en-US"/>
        </a:p>
      </dgm:t>
    </dgm:pt>
    <dgm:pt modelId="{3AFD95CC-1FFB-4189-8689-AEBB0794E0E7}" type="pres">
      <dgm:prSet presAssocID="{888DD333-223F-46BD-8680-EED781634641}" presName="Name0" presStyleCnt="0">
        <dgm:presLayoutVars>
          <dgm:dir/>
          <dgm:resizeHandles val="exact"/>
        </dgm:presLayoutVars>
      </dgm:prSet>
      <dgm:spPr/>
    </dgm:pt>
    <dgm:pt modelId="{F4F5161D-374F-4CB1-9DCB-042A5FCE7A58}" type="pres">
      <dgm:prSet presAssocID="{B9B29830-C808-497F-8D9F-7B2084B21BF7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65468DA-ECD2-45D2-B9C1-138D8D9B6DE5}" type="pres">
      <dgm:prSet presAssocID="{1CE60860-71AB-4293-B121-644A185026B8}" presName="sibTrans" presStyleLbl="sibTrans2D1" presStyleIdx="0" presStyleCnt="4"/>
      <dgm:spPr/>
      <dgm:t>
        <a:bodyPr/>
        <a:lstStyle/>
        <a:p>
          <a:endParaRPr lang="en-US"/>
        </a:p>
      </dgm:t>
    </dgm:pt>
    <dgm:pt modelId="{D1998C44-7AD0-4147-9CB7-0D83861F3AF1}" type="pres">
      <dgm:prSet presAssocID="{1CE60860-71AB-4293-B121-644A185026B8}" presName="connectorText" presStyleLbl="sibTrans2D1" presStyleIdx="0" presStyleCnt="4"/>
      <dgm:spPr/>
      <dgm:t>
        <a:bodyPr/>
        <a:lstStyle/>
        <a:p>
          <a:endParaRPr lang="en-US"/>
        </a:p>
      </dgm:t>
    </dgm:pt>
    <dgm:pt modelId="{91B012C0-B809-4F9D-A82D-5B6779FCB751}" type="pres">
      <dgm:prSet presAssocID="{86D4ECD8-65DD-4142-AB43-1E08EBB541A4}" presName="node" presStyleLbl="node1" presStyleIdx="1" presStyleCnt="5" custScaleX="106764" custLinFactNeighborX="-1652" custLinFactNeighborY="-70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8CFDCE7-764D-417A-B953-382D0E4255C2}" type="pres">
      <dgm:prSet presAssocID="{DE216CF6-63C6-406F-AF9A-9EC26F45091F}" presName="sibTrans" presStyleLbl="sibTrans2D1" presStyleIdx="1" presStyleCnt="4"/>
      <dgm:spPr/>
      <dgm:t>
        <a:bodyPr/>
        <a:lstStyle/>
        <a:p>
          <a:endParaRPr lang="en-US"/>
        </a:p>
      </dgm:t>
    </dgm:pt>
    <dgm:pt modelId="{090DF687-177F-4F59-A4DD-364C5AD33ACF}" type="pres">
      <dgm:prSet presAssocID="{DE216CF6-63C6-406F-AF9A-9EC26F45091F}" presName="connectorText" presStyleLbl="sibTrans2D1" presStyleIdx="1" presStyleCnt="4"/>
      <dgm:spPr/>
      <dgm:t>
        <a:bodyPr/>
        <a:lstStyle/>
        <a:p>
          <a:endParaRPr lang="en-US"/>
        </a:p>
      </dgm:t>
    </dgm:pt>
    <dgm:pt modelId="{0CD2503E-D440-4F21-A40B-00185BC74301}" type="pres">
      <dgm:prSet presAssocID="{1B385B0B-BD59-4DD3-853E-9A4DBD011627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0E196B9-8FBF-45AF-ADE1-5CF33EA9ABEC}" type="pres">
      <dgm:prSet presAssocID="{472DE367-35F5-47B0-B864-17834B89C6B7}" presName="sibTrans" presStyleLbl="sibTrans2D1" presStyleIdx="2" presStyleCnt="4"/>
      <dgm:spPr/>
      <dgm:t>
        <a:bodyPr/>
        <a:lstStyle/>
        <a:p>
          <a:endParaRPr lang="en-US"/>
        </a:p>
      </dgm:t>
    </dgm:pt>
    <dgm:pt modelId="{83423A60-A648-4EF5-A28D-06A44A4506C5}" type="pres">
      <dgm:prSet presAssocID="{472DE367-35F5-47B0-B864-17834B89C6B7}" presName="connectorText" presStyleLbl="sibTrans2D1" presStyleIdx="2" presStyleCnt="4"/>
      <dgm:spPr/>
      <dgm:t>
        <a:bodyPr/>
        <a:lstStyle/>
        <a:p>
          <a:endParaRPr lang="en-US"/>
        </a:p>
      </dgm:t>
    </dgm:pt>
    <dgm:pt modelId="{0AEF4EE7-57D7-4AC0-A2F3-3EB66DC3B087}" type="pres">
      <dgm:prSet presAssocID="{6E824BCF-7121-4F45-BC99-FD2EB8EE6383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6515AAA-D7BD-4A18-B4A5-D0559BFA3E49}" type="pres">
      <dgm:prSet presAssocID="{67814E23-043A-4A29-90DF-8B2F4D7C4333}" presName="sibTrans" presStyleLbl="sibTrans2D1" presStyleIdx="3" presStyleCnt="4"/>
      <dgm:spPr/>
      <dgm:t>
        <a:bodyPr/>
        <a:lstStyle/>
        <a:p>
          <a:endParaRPr lang="en-US"/>
        </a:p>
      </dgm:t>
    </dgm:pt>
    <dgm:pt modelId="{09558A61-FE79-4551-8A92-AE109CE0C2FF}" type="pres">
      <dgm:prSet presAssocID="{67814E23-043A-4A29-90DF-8B2F4D7C4333}" presName="connectorText" presStyleLbl="sibTrans2D1" presStyleIdx="3" presStyleCnt="4"/>
      <dgm:spPr/>
      <dgm:t>
        <a:bodyPr/>
        <a:lstStyle/>
        <a:p>
          <a:endParaRPr lang="en-US"/>
        </a:p>
      </dgm:t>
    </dgm:pt>
    <dgm:pt modelId="{9BB82D24-5D3E-4BCD-B305-0A2781B9486A}" type="pres">
      <dgm:prSet presAssocID="{2297B4E5-695C-4BDA-B1FA-8BB4910F41F8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62845F0-E0F7-48F2-BCC5-6A9E8A2392EF}" type="presOf" srcId="{B9B29830-C808-497F-8D9F-7B2084B21BF7}" destId="{F4F5161D-374F-4CB1-9DCB-042A5FCE7A58}" srcOrd="0" destOrd="0" presId="urn:microsoft.com/office/officeart/2005/8/layout/process1"/>
    <dgm:cxn modelId="{C70E7A15-D667-4E2F-A6B3-8B4139BC68F6}" type="presOf" srcId="{1B385B0B-BD59-4DD3-853E-9A4DBD011627}" destId="{0CD2503E-D440-4F21-A40B-00185BC74301}" srcOrd="0" destOrd="0" presId="urn:microsoft.com/office/officeart/2005/8/layout/process1"/>
    <dgm:cxn modelId="{F921A0A3-E729-4F2C-9924-E97A4DF6EA42}" type="presOf" srcId="{67814E23-043A-4A29-90DF-8B2F4D7C4333}" destId="{26515AAA-D7BD-4A18-B4A5-D0559BFA3E49}" srcOrd="0" destOrd="0" presId="urn:microsoft.com/office/officeart/2005/8/layout/process1"/>
    <dgm:cxn modelId="{43697A42-231C-4B70-81AF-9570CA4F6461}" srcId="{888DD333-223F-46BD-8680-EED781634641}" destId="{86D4ECD8-65DD-4142-AB43-1E08EBB541A4}" srcOrd="1" destOrd="0" parTransId="{36BE5379-5592-4B28-B7C3-BF5C8B027E4B}" sibTransId="{DE216CF6-63C6-406F-AF9A-9EC26F45091F}"/>
    <dgm:cxn modelId="{05DD43F6-C8C7-4FDB-B3C8-3A151007E366}" type="presOf" srcId="{1CE60860-71AB-4293-B121-644A185026B8}" destId="{465468DA-ECD2-45D2-B9C1-138D8D9B6DE5}" srcOrd="0" destOrd="0" presId="urn:microsoft.com/office/officeart/2005/8/layout/process1"/>
    <dgm:cxn modelId="{161F4448-A623-4249-8048-432AC446EBD0}" type="presOf" srcId="{472DE367-35F5-47B0-B864-17834B89C6B7}" destId="{30E196B9-8FBF-45AF-ADE1-5CF33EA9ABEC}" srcOrd="0" destOrd="0" presId="urn:microsoft.com/office/officeart/2005/8/layout/process1"/>
    <dgm:cxn modelId="{1C4045FA-67F9-41F7-BA08-3F7A1D2BD602}" srcId="{888DD333-223F-46BD-8680-EED781634641}" destId="{2297B4E5-695C-4BDA-B1FA-8BB4910F41F8}" srcOrd="4" destOrd="0" parTransId="{8680AB3F-A9B3-4274-8F3D-4D2CA5F08A5C}" sibTransId="{21CCCB37-9360-4EDA-82B5-9A3225975428}"/>
    <dgm:cxn modelId="{3FAE333B-5B48-4870-BFCA-142CE2C0E143}" type="presOf" srcId="{67814E23-043A-4A29-90DF-8B2F4D7C4333}" destId="{09558A61-FE79-4551-8A92-AE109CE0C2FF}" srcOrd="1" destOrd="0" presId="urn:microsoft.com/office/officeart/2005/8/layout/process1"/>
    <dgm:cxn modelId="{FA68797F-1D16-4D8F-A0DC-A2B5D3BDD991}" type="presOf" srcId="{86D4ECD8-65DD-4142-AB43-1E08EBB541A4}" destId="{91B012C0-B809-4F9D-A82D-5B6779FCB751}" srcOrd="0" destOrd="0" presId="urn:microsoft.com/office/officeart/2005/8/layout/process1"/>
    <dgm:cxn modelId="{3D851A4D-75C4-449B-934C-E477B6366DAD}" type="presOf" srcId="{1CE60860-71AB-4293-B121-644A185026B8}" destId="{D1998C44-7AD0-4147-9CB7-0D83861F3AF1}" srcOrd="1" destOrd="0" presId="urn:microsoft.com/office/officeart/2005/8/layout/process1"/>
    <dgm:cxn modelId="{0310EB48-A68E-4B42-AA34-F14338D7FAFA}" type="presOf" srcId="{6E824BCF-7121-4F45-BC99-FD2EB8EE6383}" destId="{0AEF4EE7-57D7-4AC0-A2F3-3EB66DC3B087}" srcOrd="0" destOrd="0" presId="urn:microsoft.com/office/officeart/2005/8/layout/process1"/>
    <dgm:cxn modelId="{65AFEEE3-8320-40E2-9966-0221A205B2A2}" type="presOf" srcId="{DE216CF6-63C6-406F-AF9A-9EC26F45091F}" destId="{090DF687-177F-4F59-A4DD-364C5AD33ACF}" srcOrd="1" destOrd="0" presId="urn:microsoft.com/office/officeart/2005/8/layout/process1"/>
    <dgm:cxn modelId="{2BB164A7-856A-4059-9BF4-9F7BC271A132}" type="presOf" srcId="{472DE367-35F5-47B0-B864-17834B89C6B7}" destId="{83423A60-A648-4EF5-A28D-06A44A4506C5}" srcOrd="1" destOrd="0" presId="urn:microsoft.com/office/officeart/2005/8/layout/process1"/>
    <dgm:cxn modelId="{3127AD8E-AE99-4BDC-9F9C-BC5B378CD272}" type="presOf" srcId="{DE216CF6-63C6-406F-AF9A-9EC26F45091F}" destId="{98CFDCE7-764D-417A-B953-382D0E4255C2}" srcOrd="0" destOrd="0" presId="urn:microsoft.com/office/officeart/2005/8/layout/process1"/>
    <dgm:cxn modelId="{60275830-1AF2-4A33-BD93-C336137D2EEF}" type="presOf" srcId="{888DD333-223F-46BD-8680-EED781634641}" destId="{3AFD95CC-1FFB-4189-8689-AEBB0794E0E7}" srcOrd="0" destOrd="0" presId="urn:microsoft.com/office/officeart/2005/8/layout/process1"/>
    <dgm:cxn modelId="{D55486D0-035E-4DD6-A11A-7BE7139993B4}" type="presOf" srcId="{2297B4E5-695C-4BDA-B1FA-8BB4910F41F8}" destId="{9BB82D24-5D3E-4BCD-B305-0A2781B9486A}" srcOrd="0" destOrd="0" presId="urn:microsoft.com/office/officeart/2005/8/layout/process1"/>
    <dgm:cxn modelId="{A584E904-B9A8-4FC6-8419-5DE3C97DC385}" srcId="{888DD333-223F-46BD-8680-EED781634641}" destId="{1B385B0B-BD59-4DD3-853E-9A4DBD011627}" srcOrd="2" destOrd="0" parTransId="{97A35657-99BD-4C26-9681-22950EB4C8C3}" sibTransId="{472DE367-35F5-47B0-B864-17834B89C6B7}"/>
    <dgm:cxn modelId="{28BC8830-EF51-4360-90AB-B9209DC9CC47}" srcId="{888DD333-223F-46BD-8680-EED781634641}" destId="{6E824BCF-7121-4F45-BC99-FD2EB8EE6383}" srcOrd="3" destOrd="0" parTransId="{599FDBD7-0F20-4AD3-B9A6-B840F5860380}" sibTransId="{67814E23-043A-4A29-90DF-8B2F4D7C4333}"/>
    <dgm:cxn modelId="{38632AAE-E722-4DF5-8AC6-D3D3E6BBAA7C}" srcId="{888DD333-223F-46BD-8680-EED781634641}" destId="{B9B29830-C808-497F-8D9F-7B2084B21BF7}" srcOrd="0" destOrd="0" parTransId="{AB1C215D-2496-4031-BED5-CF2884EFB481}" sibTransId="{1CE60860-71AB-4293-B121-644A185026B8}"/>
    <dgm:cxn modelId="{4977D033-6F6A-418F-B2CA-DEA9BA51E578}" type="presParOf" srcId="{3AFD95CC-1FFB-4189-8689-AEBB0794E0E7}" destId="{F4F5161D-374F-4CB1-9DCB-042A5FCE7A58}" srcOrd="0" destOrd="0" presId="urn:microsoft.com/office/officeart/2005/8/layout/process1"/>
    <dgm:cxn modelId="{94B0D68E-B1B6-42DC-A8A9-678BE49C39CF}" type="presParOf" srcId="{3AFD95CC-1FFB-4189-8689-AEBB0794E0E7}" destId="{465468DA-ECD2-45D2-B9C1-138D8D9B6DE5}" srcOrd="1" destOrd="0" presId="urn:microsoft.com/office/officeart/2005/8/layout/process1"/>
    <dgm:cxn modelId="{B8DC2CE3-F359-4D7D-8587-4208919D34E9}" type="presParOf" srcId="{465468DA-ECD2-45D2-B9C1-138D8D9B6DE5}" destId="{D1998C44-7AD0-4147-9CB7-0D83861F3AF1}" srcOrd="0" destOrd="0" presId="urn:microsoft.com/office/officeart/2005/8/layout/process1"/>
    <dgm:cxn modelId="{49B70464-5929-476A-87F5-6AFA99815CD9}" type="presParOf" srcId="{3AFD95CC-1FFB-4189-8689-AEBB0794E0E7}" destId="{91B012C0-B809-4F9D-A82D-5B6779FCB751}" srcOrd="2" destOrd="0" presId="urn:microsoft.com/office/officeart/2005/8/layout/process1"/>
    <dgm:cxn modelId="{77AB9842-A3F9-4374-87E8-E50665D30C1C}" type="presParOf" srcId="{3AFD95CC-1FFB-4189-8689-AEBB0794E0E7}" destId="{98CFDCE7-764D-417A-B953-382D0E4255C2}" srcOrd="3" destOrd="0" presId="urn:microsoft.com/office/officeart/2005/8/layout/process1"/>
    <dgm:cxn modelId="{0F194FED-845C-4BE3-BC19-93E7D3189215}" type="presParOf" srcId="{98CFDCE7-764D-417A-B953-382D0E4255C2}" destId="{090DF687-177F-4F59-A4DD-364C5AD33ACF}" srcOrd="0" destOrd="0" presId="urn:microsoft.com/office/officeart/2005/8/layout/process1"/>
    <dgm:cxn modelId="{ECCE5666-A2F2-4CAA-A335-0587592AF243}" type="presParOf" srcId="{3AFD95CC-1FFB-4189-8689-AEBB0794E0E7}" destId="{0CD2503E-D440-4F21-A40B-00185BC74301}" srcOrd="4" destOrd="0" presId="urn:microsoft.com/office/officeart/2005/8/layout/process1"/>
    <dgm:cxn modelId="{AEF1779C-A92B-4ECC-BEF6-D4C09718BC1B}" type="presParOf" srcId="{3AFD95CC-1FFB-4189-8689-AEBB0794E0E7}" destId="{30E196B9-8FBF-45AF-ADE1-5CF33EA9ABEC}" srcOrd="5" destOrd="0" presId="urn:microsoft.com/office/officeart/2005/8/layout/process1"/>
    <dgm:cxn modelId="{0280E692-057E-44B1-BBFF-08C2CA4BF672}" type="presParOf" srcId="{30E196B9-8FBF-45AF-ADE1-5CF33EA9ABEC}" destId="{83423A60-A648-4EF5-A28D-06A44A4506C5}" srcOrd="0" destOrd="0" presId="urn:microsoft.com/office/officeart/2005/8/layout/process1"/>
    <dgm:cxn modelId="{89D2DF81-87BC-4B32-A5DF-521C9AEBB7B0}" type="presParOf" srcId="{3AFD95CC-1FFB-4189-8689-AEBB0794E0E7}" destId="{0AEF4EE7-57D7-4AC0-A2F3-3EB66DC3B087}" srcOrd="6" destOrd="0" presId="urn:microsoft.com/office/officeart/2005/8/layout/process1"/>
    <dgm:cxn modelId="{D54FE58C-7CB7-4163-82FF-0CD318A10F76}" type="presParOf" srcId="{3AFD95CC-1FFB-4189-8689-AEBB0794E0E7}" destId="{26515AAA-D7BD-4A18-B4A5-D0559BFA3E49}" srcOrd="7" destOrd="0" presId="urn:microsoft.com/office/officeart/2005/8/layout/process1"/>
    <dgm:cxn modelId="{8BAD4D88-7055-4067-8E92-05657BBFB45B}" type="presParOf" srcId="{26515AAA-D7BD-4A18-B4A5-D0559BFA3E49}" destId="{09558A61-FE79-4551-8A92-AE109CE0C2FF}" srcOrd="0" destOrd="0" presId="urn:microsoft.com/office/officeart/2005/8/layout/process1"/>
    <dgm:cxn modelId="{52E54B5B-45E2-4B88-B7E5-C4C6CC3F0072}" type="presParOf" srcId="{3AFD95CC-1FFB-4189-8689-AEBB0794E0E7}" destId="{9BB82D24-5D3E-4BCD-B305-0A2781B9486A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4F5161D-374F-4CB1-9DCB-042A5FCE7A58}">
      <dsp:nvSpPr>
        <dsp:cNvPr id="0" name=""/>
        <dsp:cNvSpPr/>
      </dsp:nvSpPr>
      <dsp:spPr>
        <a:xfrm>
          <a:off x="1486" y="25402"/>
          <a:ext cx="882392" cy="9016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1" kern="1200"/>
            <a:t>May 15, 2019 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Submit local 1-year transition application</a:t>
          </a:r>
        </a:p>
      </dsp:txBody>
      <dsp:txXfrm>
        <a:off x="27330" y="51246"/>
        <a:ext cx="830704" cy="850006"/>
      </dsp:txXfrm>
    </dsp:sp>
    <dsp:sp modelId="{465468DA-ECD2-45D2-B9C1-138D8D9B6DE5}">
      <dsp:nvSpPr>
        <dsp:cNvPr id="0" name=""/>
        <dsp:cNvSpPr/>
      </dsp:nvSpPr>
      <dsp:spPr>
        <a:xfrm rot="21582647">
          <a:off x="970659" y="363703"/>
          <a:ext cx="183979" cy="21883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970659" y="407609"/>
        <a:ext cx="128785" cy="131299"/>
      </dsp:txXfrm>
    </dsp:sp>
    <dsp:sp modelId="{91B012C0-B809-4F9D-A82D-5B6779FCB751}">
      <dsp:nvSpPr>
        <dsp:cNvPr id="0" name=""/>
        <dsp:cNvSpPr/>
      </dsp:nvSpPr>
      <dsp:spPr>
        <a:xfrm>
          <a:off x="1231005" y="19045"/>
          <a:ext cx="942077" cy="9016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1" kern="1200"/>
            <a:t>July 1, 2019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Transition year grant awarded</a:t>
          </a:r>
        </a:p>
      </dsp:txBody>
      <dsp:txXfrm>
        <a:off x="1257415" y="45455"/>
        <a:ext cx="889257" cy="848874"/>
      </dsp:txXfrm>
    </dsp:sp>
    <dsp:sp modelId="{98CFDCE7-764D-417A-B953-382D0E4255C2}">
      <dsp:nvSpPr>
        <dsp:cNvPr id="0" name=""/>
        <dsp:cNvSpPr/>
      </dsp:nvSpPr>
      <dsp:spPr>
        <a:xfrm rot="17194">
          <a:off x="2262779" y="363756"/>
          <a:ext cx="190159" cy="21883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2262779" y="407380"/>
        <a:ext cx="133111" cy="131299"/>
      </dsp:txXfrm>
    </dsp:sp>
    <dsp:sp modelId="{0CD2503E-D440-4F21-A40B-00185BC74301}">
      <dsp:nvSpPr>
        <dsp:cNvPr id="0" name=""/>
        <dsp:cNvSpPr/>
      </dsp:nvSpPr>
      <dsp:spPr>
        <a:xfrm>
          <a:off x="2531871" y="25402"/>
          <a:ext cx="882392" cy="9016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1" kern="1200"/>
            <a:t>Fall 2019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Conduct Local Needs Assessment</a:t>
          </a:r>
        </a:p>
      </dsp:txBody>
      <dsp:txXfrm>
        <a:off x="2557715" y="51246"/>
        <a:ext cx="830704" cy="850006"/>
      </dsp:txXfrm>
    </dsp:sp>
    <dsp:sp modelId="{30E196B9-8FBF-45AF-ADE1-5CF33EA9ABEC}">
      <dsp:nvSpPr>
        <dsp:cNvPr id="0" name=""/>
        <dsp:cNvSpPr/>
      </dsp:nvSpPr>
      <dsp:spPr>
        <a:xfrm>
          <a:off x="3502503" y="366833"/>
          <a:ext cx="187067" cy="21883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3502503" y="410600"/>
        <a:ext cx="130947" cy="131299"/>
      </dsp:txXfrm>
    </dsp:sp>
    <dsp:sp modelId="{0AEF4EE7-57D7-4AC0-A2F3-3EB66DC3B087}">
      <dsp:nvSpPr>
        <dsp:cNvPr id="0" name=""/>
        <dsp:cNvSpPr/>
      </dsp:nvSpPr>
      <dsp:spPr>
        <a:xfrm>
          <a:off x="3767220" y="25402"/>
          <a:ext cx="882392" cy="9016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1" kern="1200"/>
            <a:t>May 15, 2020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Submit initial 2-year Perkins Application</a:t>
          </a:r>
        </a:p>
      </dsp:txBody>
      <dsp:txXfrm>
        <a:off x="3793064" y="51246"/>
        <a:ext cx="830704" cy="850006"/>
      </dsp:txXfrm>
    </dsp:sp>
    <dsp:sp modelId="{26515AAA-D7BD-4A18-B4A5-D0559BFA3E49}">
      <dsp:nvSpPr>
        <dsp:cNvPr id="0" name=""/>
        <dsp:cNvSpPr/>
      </dsp:nvSpPr>
      <dsp:spPr>
        <a:xfrm>
          <a:off x="4737852" y="366833"/>
          <a:ext cx="187067" cy="21883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4737852" y="410600"/>
        <a:ext cx="130947" cy="131299"/>
      </dsp:txXfrm>
    </dsp:sp>
    <dsp:sp modelId="{9BB82D24-5D3E-4BCD-B305-0A2781B9486A}">
      <dsp:nvSpPr>
        <dsp:cNvPr id="0" name=""/>
        <dsp:cNvSpPr/>
      </dsp:nvSpPr>
      <dsp:spPr>
        <a:xfrm>
          <a:off x="5002570" y="25402"/>
          <a:ext cx="882392" cy="9016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1" kern="1200"/>
            <a:t>July 1, 2020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2-year grant awarded</a:t>
          </a:r>
        </a:p>
      </dsp:txBody>
      <dsp:txXfrm>
        <a:off x="5028414" y="51246"/>
        <a:ext cx="830704" cy="8500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B56C6-D671-4E54-A5D4-B343BD449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MnSCU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Miller</dc:creator>
  <cp:keywords/>
  <dc:description/>
  <cp:lastModifiedBy>Yingfah Thao</cp:lastModifiedBy>
  <cp:revision>2</cp:revision>
  <cp:lastPrinted>2019-01-15T17:07:00Z</cp:lastPrinted>
  <dcterms:created xsi:type="dcterms:W3CDTF">2019-02-15T15:58:00Z</dcterms:created>
  <dcterms:modified xsi:type="dcterms:W3CDTF">2019-02-15T15:58:00Z</dcterms:modified>
</cp:coreProperties>
</file>