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3352" w14:textId="77777777" w:rsidR="0037785D" w:rsidRPr="0037785D" w:rsidRDefault="0037785D" w:rsidP="0037785D">
      <w:pPr>
        <w:pStyle w:val="TitleHeading"/>
        <w:spacing w:line="240" w:lineRule="auto"/>
        <w:ind w:right="-14"/>
        <w:rPr>
          <w:rFonts w:asciiTheme="majorHAnsi" w:hAnsiTheme="majorHAnsi"/>
          <w:color w:val="0C2340"/>
          <w:sz w:val="24"/>
          <w:szCs w:val="24"/>
        </w:rPr>
      </w:pPr>
    </w:p>
    <w:p w14:paraId="2406B858" w14:textId="77777777" w:rsidR="0037785D" w:rsidRPr="0037785D" w:rsidRDefault="0037785D" w:rsidP="0037785D">
      <w:pPr>
        <w:pStyle w:val="TitleHeading"/>
        <w:spacing w:line="240" w:lineRule="auto"/>
        <w:ind w:right="-14"/>
        <w:rPr>
          <w:rFonts w:asciiTheme="majorHAnsi" w:hAnsiTheme="majorHAnsi"/>
          <w:color w:val="0C2340"/>
          <w:sz w:val="24"/>
          <w:szCs w:val="24"/>
        </w:rPr>
      </w:pPr>
    </w:p>
    <w:p w14:paraId="30DABC7F" w14:textId="77777777" w:rsidR="0037785D" w:rsidRDefault="0037785D" w:rsidP="0037785D">
      <w:pPr>
        <w:pStyle w:val="TitleHeading"/>
        <w:spacing w:line="240" w:lineRule="auto"/>
        <w:ind w:right="-14"/>
        <w:rPr>
          <w:rFonts w:asciiTheme="majorHAnsi" w:hAnsiTheme="majorHAnsi"/>
          <w:color w:val="0C2340"/>
          <w:sz w:val="24"/>
          <w:szCs w:val="24"/>
        </w:rPr>
      </w:pPr>
    </w:p>
    <w:p w14:paraId="527E1446" w14:textId="77777777" w:rsidR="000467AB" w:rsidRPr="000467AB" w:rsidRDefault="00EF3CDF" w:rsidP="000467AB">
      <w:pPr>
        <w:spacing w:after="160" w:line="259" w:lineRule="auto"/>
        <w:jc w:val="center"/>
        <w:rPr>
          <w:rFonts w:asciiTheme="majorHAnsi" w:eastAsia="Calibri" w:hAnsiTheme="majorHAnsi" w:cs="Times New Roman"/>
          <w:b/>
          <w:sz w:val="44"/>
          <w:szCs w:val="44"/>
        </w:rPr>
      </w:pPr>
      <w:r>
        <w:rPr>
          <w:rFonts w:asciiTheme="majorHAnsi" w:eastAsia="Calibri" w:hAnsiTheme="majorHAnsi" w:cs="Times New Roman"/>
          <w:b/>
          <w:sz w:val="44"/>
          <w:szCs w:val="44"/>
        </w:rPr>
        <w:t>Green Sheet Narrative</w:t>
      </w:r>
      <w:r>
        <w:rPr>
          <w:rFonts w:asciiTheme="majorHAnsi" w:eastAsia="Calibri" w:hAnsiTheme="majorHAnsi" w:cs="Times New Roman"/>
          <w:b/>
          <w:sz w:val="44"/>
          <w:szCs w:val="44"/>
        </w:rPr>
        <w:tab/>
      </w:r>
    </w:p>
    <w:p w14:paraId="49DCADDA" w14:textId="77777777" w:rsidR="004615EC" w:rsidRPr="004B6DB8" w:rsidRDefault="004615EC" w:rsidP="0037785D">
      <w:pPr>
        <w:tabs>
          <w:tab w:val="left" w:pos="4068"/>
        </w:tabs>
        <w:spacing w:before="4" w:after="0" w:line="170" w:lineRule="exact"/>
        <w:rPr>
          <w:sz w:val="17"/>
          <w:szCs w:val="17"/>
        </w:rPr>
      </w:pPr>
    </w:p>
    <w:p w14:paraId="320657AB" w14:textId="77777777" w:rsidR="00EF3CDF" w:rsidRPr="00EF3CDF" w:rsidRDefault="00EF3CDF" w:rsidP="00EF3CDF">
      <w:pPr>
        <w:jc w:val="both"/>
        <w:rPr>
          <w:rFonts w:asciiTheme="majorHAnsi" w:hAnsiTheme="majorHAnsi"/>
          <w:sz w:val="24"/>
        </w:rPr>
      </w:pPr>
      <w:r w:rsidRPr="00EF3CDF">
        <w:rPr>
          <w:rFonts w:asciiTheme="majorHAnsi" w:hAnsiTheme="majorHAnsi"/>
          <w:sz w:val="24"/>
        </w:rPr>
        <w:t xml:space="preserve">The Board of Trustees annually set system priorities determining how state appropriation is allocated.  </w:t>
      </w:r>
    </w:p>
    <w:p w14:paraId="385DFBEF" w14:textId="77777777" w:rsidR="00EF3CDF" w:rsidRPr="00EF3CDF" w:rsidRDefault="00EF3CDF" w:rsidP="00EF3CDF">
      <w:pPr>
        <w:jc w:val="both"/>
        <w:rPr>
          <w:rFonts w:asciiTheme="majorHAnsi" w:hAnsiTheme="majorHAnsi"/>
          <w:sz w:val="24"/>
        </w:rPr>
      </w:pPr>
      <w:r w:rsidRPr="00EF3CDF">
        <w:rPr>
          <w:rFonts w:asciiTheme="majorHAnsi" w:hAnsiTheme="majorHAnsi"/>
          <w:sz w:val="24"/>
        </w:rPr>
        <w:t xml:space="preserve"> The letter “A” indicates all colleges and universities receive the allocation.  The letter “S” indicates selected colleges or universities receive the allocation. The letter “C” indicates appropriation held centrally. The letter “P” indicates a pass-through to an outside entity.</w:t>
      </w:r>
    </w:p>
    <w:p w14:paraId="0896DE3D" w14:textId="5FDE624D" w:rsidR="000467AB" w:rsidRPr="000467AB" w:rsidRDefault="00EF3CDF" w:rsidP="00222264">
      <w:pPr>
        <w:spacing w:after="160" w:line="240" w:lineRule="auto"/>
        <w:jc w:val="both"/>
        <w:rPr>
          <w:rFonts w:ascii="Calibri" w:eastAsia="Calibri" w:hAnsi="Calibri" w:cs="Times New Roman"/>
          <w:b/>
          <w:color w:val="009F4D"/>
          <w:sz w:val="24"/>
          <w:szCs w:val="24"/>
        </w:rPr>
      </w:pPr>
      <w:r>
        <w:rPr>
          <w:rFonts w:ascii="Calibri" w:eastAsia="Calibri" w:hAnsi="Calibri" w:cs="Times New Roman"/>
          <w:b/>
          <w:color w:val="009F4D"/>
          <w:sz w:val="24"/>
          <w:szCs w:val="24"/>
        </w:rPr>
        <w:t>Institutional Basic Allocations (8</w:t>
      </w:r>
      <w:r w:rsidR="009A1192">
        <w:rPr>
          <w:rFonts w:ascii="Calibri" w:eastAsia="Calibri" w:hAnsi="Calibri" w:cs="Times New Roman"/>
          <w:b/>
          <w:color w:val="009F4D"/>
          <w:sz w:val="24"/>
          <w:szCs w:val="24"/>
        </w:rPr>
        <w:t>3</w:t>
      </w:r>
      <w:r>
        <w:rPr>
          <w:rFonts w:ascii="Calibri" w:eastAsia="Calibri" w:hAnsi="Calibri" w:cs="Times New Roman"/>
          <w:b/>
          <w:color w:val="009F4D"/>
          <w:sz w:val="24"/>
          <w:szCs w:val="24"/>
        </w:rPr>
        <w:t>% of funds):</w:t>
      </w:r>
    </w:p>
    <w:p w14:paraId="1ED8788B" w14:textId="77777777" w:rsidR="00EF3CDF" w:rsidRPr="00EF3CDF" w:rsidRDefault="00EF3CDF" w:rsidP="00EF3CDF">
      <w:pPr>
        <w:pStyle w:val="ListParagraph"/>
        <w:numPr>
          <w:ilvl w:val="0"/>
          <w:numId w:val="8"/>
        </w:numPr>
        <w:jc w:val="both"/>
        <w:rPr>
          <w:rFonts w:asciiTheme="majorHAnsi" w:hAnsiTheme="majorHAnsi"/>
          <w:sz w:val="24"/>
        </w:rPr>
      </w:pPr>
      <w:r w:rsidRPr="00EF3CDF">
        <w:rPr>
          <w:rFonts w:asciiTheme="majorHAnsi" w:hAnsiTheme="majorHAnsi"/>
          <w:sz w:val="24"/>
        </w:rPr>
        <w:t>Base – Funding is distributed through the allocation framework. (A)</w:t>
      </w:r>
    </w:p>
    <w:p w14:paraId="0379684B" w14:textId="77777777" w:rsidR="00711A05" w:rsidRDefault="00F355F1" w:rsidP="00EF3CDF">
      <w:pPr>
        <w:pStyle w:val="ListParagraph"/>
        <w:numPr>
          <w:ilvl w:val="0"/>
          <w:numId w:val="8"/>
        </w:numPr>
        <w:jc w:val="both"/>
        <w:rPr>
          <w:rFonts w:asciiTheme="majorHAnsi" w:hAnsiTheme="majorHAnsi"/>
          <w:sz w:val="24"/>
        </w:rPr>
      </w:pPr>
      <w:r>
        <w:rPr>
          <w:rFonts w:asciiTheme="majorHAnsi" w:hAnsiTheme="majorHAnsi"/>
          <w:sz w:val="24"/>
        </w:rPr>
        <w:t>Campus Support/</w:t>
      </w:r>
      <w:r w:rsidR="00711A05" w:rsidRPr="008D649D">
        <w:rPr>
          <w:rFonts w:asciiTheme="majorHAnsi" w:hAnsiTheme="majorHAnsi"/>
          <w:sz w:val="24"/>
        </w:rPr>
        <w:t xml:space="preserve">Inflation </w:t>
      </w:r>
      <w:r w:rsidR="00D92CA8" w:rsidRPr="008D649D">
        <w:rPr>
          <w:rFonts w:asciiTheme="majorHAnsi" w:hAnsiTheme="majorHAnsi"/>
          <w:sz w:val="24"/>
        </w:rPr>
        <w:t>–</w:t>
      </w:r>
      <w:r w:rsidR="00711A05">
        <w:rPr>
          <w:rFonts w:asciiTheme="majorHAnsi" w:hAnsiTheme="majorHAnsi"/>
          <w:sz w:val="24"/>
        </w:rPr>
        <w:t xml:space="preserve"> </w:t>
      </w:r>
      <w:r w:rsidR="00D92CA8">
        <w:rPr>
          <w:rFonts w:asciiTheme="majorHAnsi" w:hAnsiTheme="majorHAnsi"/>
          <w:sz w:val="24"/>
        </w:rPr>
        <w:t>Funding is distributed through the allocation framework</w:t>
      </w:r>
      <w:r w:rsidR="00132CA7">
        <w:rPr>
          <w:rFonts w:asciiTheme="majorHAnsi" w:hAnsiTheme="majorHAnsi"/>
          <w:sz w:val="24"/>
        </w:rPr>
        <w:t>.  (A)</w:t>
      </w:r>
    </w:p>
    <w:p w14:paraId="3429DDA2" w14:textId="18330EB7" w:rsidR="00ED044E" w:rsidRPr="00EF3CDF" w:rsidRDefault="009A38A4" w:rsidP="00EF3CDF">
      <w:pPr>
        <w:pStyle w:val="ListParagraph"/>
        <w:numPr>
          <w:ilvl w:val="0"/>
          <w:numId w:val="8"/>
        </w:numPr>
        <w:jc w:val="both"/>
        <w:rPr>
          <w:rFonts w:asciiTheme="majorHAnsi" w:hAnsiTheme="majorHAnsi"/>
          <w:sz w:val="24"/>
        </w:rPr>
      </w:pPr>
      <w:r>
        <w:rPr>
          <w:rFonts w:asciiTheme="majorHAnsi" w:hAnsiTheme="majorHAnsi"/>
          <w:sz w:val="24"/>
        </w:rPr>
        <w:t xml:space="preserve">Fiscal years </w:t>
      </w:r>
      <w:r w:rsidR="00ED044E">
        <w:rPr>
          <w:rFonts w:asciiTheme="majorHAnsi" w:hAnsiTheme="majorHAnsi"/>
          <w:sz w:val="24"/>
        </w:rPr>
        <w:t>2024-2025 Tuition Freeze – State support for funding tuition freezes in the current biennium (A)</w:t>
      </w:r>
    </w:p>
    <w:p w14:paraId="63A2BA12" w14:textId="77777777" w:rsidR="008D649D" w:rsidRPr="00EF3CDF" w:rsidRDefault="00F355F1" w:rsidP="00EF3CDF">
      <w:pPr>
        <w:pStyle w:val="ListParagraph"/>
        <w:numPr>
          <w:ilvl w:val="0"/>
          <w:numId w:val="8"/>
        </w:numPr>
        <w:jc w:val="both"/>
        <w:rPr>
          <w:rFonts w:asciiTheme="majorHAnsi" w:hAnsiTheme="majorHAnsi"/>
          <w:sz w:val="24"/>
        </w:rPr>
      </w:pPr>
      <w:r>
        <w:rPr>
          <w:rFonts w:asciiTheme="majorHAnsi" w:hAnsiTheme="majorHAnsi"/>
          <w:sz w:val="24"/>
        </w:rPr>
        <w:t>Tuition Replacement (15-19</w:t>
      </w:r>
      <w:r w:rsidR="008D649D">
        <w:rPr>
          <w:rFonts w:asciiTheme="majorHAnsi" w:hAnsiTheme="majorHAnsi"/>
          <w:sz w:val="24"/>
        </w:rPr>
        <w:t>) – State support for funding tuition freezes/reductions and distributed based on enrollment. (A)</w:t>
      </w:r>
    </w:p>
    <w:p w14:paraId="74C9208C" w14:textId="77777777" w:rsidR="00222264" w:rsidRPr="000467AB" w:rsidRDefault="00222264" w:rsidP="00222264">
      <w:pPr>
        <w:spacing w:after="160" w:line="240" w:lineRule="auto"/>
        <w:ind w:left="720"/>
        <w:contextualSpacing/>
        <w:rPr>
          <w:rFonts w:ascii="Calibri" w:eastAsia="Calibri" w:hAnsi="Calibri" w:cs="Times New Roman"/>
          <w:sz w:val="24"/>
          <w:szCs w:val="24"/>
        </w:rPr>
      </w:pPr>
    </w:p>
    <w:p w14:paraId="62F29D28" w14:textId="28B3CC6D" w:rsidR="000467AB" w:rsidRPr="000467AB" w:rsidRDefault="00EF3CDF" w:rsidP="00222264">
      <w:pPr>
        <w:spacing w:line="240" w:lineRule="auto"/>
        <w:rPr>
          <w:rFonts w:ascii="Calibri" w:eastAsia="Calibri" w:hAnsi="Calibri" w:cs="Times New Roman"/>
          <w:b/>
          <w:color w:val="009F4D"/>
          <w:sz w:val="24"/>
          <w:szCs w:val="24"/>
        </w:rPr>
      </w:pPr>
      <w:r>
        <w:rPr>
          <w:rFonts w:ascii="Calibri" w:eastAsia="Calibri" w:hAnsi="Calibri" w:cs="Times New Roman"/>
          <w:b/>
          <w:color w:val="009F4D"/>
          <w:sz w:val="24"/>
          <w:szCs w:val="24"/>
        </w:rPr>
        <w:t>Insti</w:t>
      </w:r>
      <w:r w:rsidR="00E87BAA">
        <w:rPr>
          <w:rFonts w:ascii="Calibri" w:eastAsia="Calibri" w:hAnsi="Calibri" w:cs="Times New Roman"/>
          <w:b/>
          <w:color w:val="009F4D"/>
          <w:sz w:val="24"/>
          <w:szCs w:val="24"/>
        </w:rPr>
        <w:t>tutional Priority Allocations (</w:t>
      </w:r>
      <w:r w:rsidR="009A1192">
        <w:rPr>
          <w:rFonts w:ascii="Calibri" w:eastAsia="Calibri" w:hAnsi="Calibri" w:cs="Times New Roman"/>
          <w:b/>
          <w:color w:val="009F4D"/>
          <w:sz w:val="24"/>
          <w:szCs w:val="24"/>
        </w:rPr>
        <w:t>6</w:t>
      </w:r>
      <w:r>
        <w:rPr>
          <w:rFonts w:ascii="Calibri" w:eastAsia="Calibri" w:hAnsi="Calibri" w:cs="Times New Roman"/>
          <w:b/>
          <w:color w:val="009F4D"/>
          <w:sz w:val="24"/>
          <w:szCs w:val="24"/>
        </w:rPr>
        <w:t>% of funds):</w:t>
      </w:r>
    </w:p>
    <w:p w14:paraId="108402F1" w14:textId="205C7E40" w:rsidR="00520F25" w:rsidRPr="00126047" w:rsidRDefault="00520F25" w:rsidP="00EF3CDF">
      <w:pPr>
        <w:pStyle w:val="ListParagraph"/>
        <w:numPr>
          <w:ilvl w:val="0"/>
          <w:numId w:val="9"/>
        </w:numPr>
        <w:jc w:val="both"/>
        <w:rPr>
          <w:rFonts w:asciiTheme="majorHAnsi" w:hAnsiTheme="majorHAnsi"/>
          <w:sz w:val="24"/>
        </w:rPr>
      </w:pPr>
      <w:r w:rsidRPr="00126047">
        <w:rPr>
          <w:rFonts w:asciiTheme="majorHAnsi" w:hAnsiTheme="majorHAnsi"/>
          <w:sz w:val="24"/>
        </w:rPr>
        <w:t xml:space="preserve">Collaboration </w:t>
      </w:r>
      <w:r w:rsidR="00D74E84" w:rsidRPr="00126047">
        <w:rPr>
          <w:rFonts w:asciiTheme="majorHAnsi" w:hAnsiTheme="majorHAnsi"/>
          <w:sz w:val="24"/>
        </w:rPr>
        <w:t>–</w:t>
      </w:r>
      <w:r w:rsidRPr="00126047">
        <w:rPr>
          <w:rFonts w:asciiTheme="majorHAnsi" w:hAnsiTheme="majorHAnsi"/>
          <w:sz w:val="24"/>
        </w:rPr>
        <w:t xml:space="preserve"> </w:t>
      </w:r>
      <w:r w:rsidR="00D74E84" w:rsidRPr="00126047">
        <w:rPr>
          <w:rFonts w:asciiTheme="majorHAnsi" w:hAnsiTheme="majorHAnsi"/>
          <w:sz w:val="24"/>
        </w:rPr>
        <w:t>The allo</w:t>
      </w:r>
      <w:r w:rsidR="00126047" w:rsidRPr="00126047">
        <w:rPr>
          <w:rFonts w:asciiTheme="majorHAnsi" w:hAnsiTheme="majorHAnsi"/>
          <w:sz w:val="24"/>
        </w:rPr>
        <w:t xml:space="preserve">cation is designated to provide </w:t>
      </w:r>
      <w:r w:rsidR="00D74E84" w:rsidRPr="00126047">
        <w:rPr>
          <w:rFonts w:asciiTheme="majorHAnsi" w:hAnsiTheme="majorHAnsi"/>
          <w:sz w:val="24"/>
        </w:rPr>
        <w:t>funding to support the development and initial implementation of collaborative initiative</w:t>
      </w:r>
      <w:r w:rsidR="00711A05">
        <w:rPr>
          <w:rFonts w:asciiTheme="majorHAnsi" w:hAnsiTheme="majorHAnsi"/>
          <w:sz w:val="24"/>
        </w:rPr>
        <w:t>s</w:t>
      </w:r>
      <w:r w:rsidR="00D74E84" w:rsidRPr="00126047">
        <w:rPr>
          <w:rFonts w:asciiTheme="majorHAnsi" w:hAnsiTheme="majorHAnsi"/>
          <w:sz w:val="24"/>
        </w:rPr>
        <w:t xml:space="preserve">, programs, services, processes, and practices.  The funds support two categories of initiatives/collaborative efforts: systemwide, enterprise level </w:t>
      </w:r>
      <w:r w:rsidR="00464B08" w:rsidRPr="00464B08">
        <w:rPr>
          <w:rFonts w:asciiTheme="majorHAnsi" w:hAnsiTheme="majorHAnsi"/>
          <w:sz w:val="24"/>
        </w:rPr>
        <w:t>($</w:t>
      </w:r>
      <w:r w:rsidR="009A38A4">
        <w:rPr>
          <w:rFonts w:asciiTheme="majorHAnsi" w:hAnsiTheme="majorHAnsi"/>
          <w:sz w:val="24"/>
        </w:rPr>
        <w:t>3.2</w:t>
      </w:r>
      <w:r w:rsidR="00711A05" w:rsidRPr="00464B08">
        <w:rPr>
          <w:rFonts w:asciiTheme="majorHAnsi" w:hAnsiTheme="majorHAnsi"/>
          <w:sz w:val="24"/>
        </w:rPr>
        <w:t>)</w:t>
      </w:r>
      <w:r w:rsidR="00711A05">
        <w:rPr>
          <w:rFonts w:asciiTheme="majorHAnsi" w:hAnsiTheme="majorHAnsi"/>
          <w:sz w:val="24"/>
        </w:rPr>
        <w:t xml:space="preserve"> </w:t>
      </w:r>
      <w:r w:rsidR="00D74E84" w:rsidRPr="00126047">
        <w:rPr>
          <w:rFonts w:asciiTheme="majorHAnsi" w:hAnsiTheme="majorHAnsi"/>
          <w:sz w:val="24"/>
        </w:rPr>
        <w:t>and multi-campus initiatives/coll</w:t>
      </w:r>
      <w:r w:rsidR="009A1192">
        <w:rPr>
          <w:rFonts w:asciiTheme="majorHAnsi" w:hAnsiTheme="majorHAnsi"/>
          <w:sz w:val="24"/>
        </w:rPr>
        <w:t>a</w:t>
      </w:r>
      <w:r w:rsidR="00D74E84" w:rsidRPr="00126047">
        <w:rPr>
          <w:rFonts w:asciiTheme="majorHAnsi" w:hAnsiTheme="majorHAnsi"/>
          <w:sz w:val="24"/>
        </w:rPr>
        <w:t>borations</w:t>
      </w:r>
      <w:r w:rsidR="00711A05">
        <w:rPr>
          <w:rFonts w:asciiTheme="majorHAnsi" w:hAnsiTheme="majorHAnsi"/>
          <w:sz w:val="24"/>
        </w:rPr>
        <w:t xml:space="preserve"> </w:t>
      </w:r>
      <w:r w:rsidR="00464B08" w:rsidRPr="00464B08">
        <w:rPr>
          <w:rFonts w:asciiTheme="majorHAnsi" w:hAnsiTheme="majorHAnsi"/>
          <w:sz w:val="24"/>
        </w:rPr>
        <w:t>($1.1</w:t>
      </w:r>
      <w:r w:rsidR="00711A05" w:rsidRPr="00464B08">
        <w:rPr>
          <w:rFonts w:asciiTheme="majorHAnsi" w:hAnsiTheme="majorHAnsi"/>
          <w:sz w:val="24"/>
        </w:rPr>
        <w:t>)</w:t>
      </w:r>
      <w:r w:rsidR="00D74E84" w:rsidRPr="00464B08">
        <w:rPr>
          <w:rFonts w:asciiTheme="majorHAnsi" w:hAnsiTheme="majorHAnsi"/>
          <w:sz w:val="24"/>
        </w:rPr>
        <w:t>.</w:t>
      </w:r>
      <w:r w:rsidR="00D74E84" w:rsidRPr="00126047">
        <w:rPr>
          <w:rFonts w:asciiTheme="majorHAnsi" w:hAnsiTheme="majorHAnsi"/>
          <w:sz w:val="24"/>
        </w:rPr>
        <w:t xml:space="preserve">  The multi-campus category requires a 1 to every 2 dollar match from participating colleges/universities.</w:t>
      </w:r>
      <w:r w:rsidR="00711A05">
        <w:rPr>
          <w:rFonts w:asciiTheme="majorHAnsi" w:hAnsiTheme="majorHAnsi"/>
          <w:sz w:val="24"/>
        </w:rPr>
        <w:t xml:space="preserve"> The program is led by the S</w:t>
      </w:r>
      <w:r w:rsidR="008D649D">
        <w:rPr>
          <w:rFonts w:asciiTheme="majorHAnsi" w:hAnsiTheme="majorHAnsi"/>
          <w:sz w:val="24"/>
        </w:rPr>
        <w:t>r.</w:t>
      </w:r>
      <w:r w:rsidR="00711A05">
        <w:rPr>
          <w:rFonts w:asciiTheme="majorHAnsi" w:hAnsiTheme="majorHAnsi"/>
          <w:sz w:val="24"/>
        </w:rPr>
        <w:t xml:space="preserve"> Vice Chancellor for Academic and Student Affairs. </w:t>
      </w:r>
      <w:r w:rsidR="008D649D">
        <w:rPr>
          <w:rFonts w:asciiTheme="majorHAnsi" w:hAnsiTheme="majorHAnsi"/>
          <w:sz w:val="24"/>
        </w:rPr>
        <w:t xml:space="preserve"> </w:t>
      </w:r>
      <w:r w:rsidR="00D74E84" w:rsidRPr="00126047">
        <w:rPr>
          <w:rFonts w:asciiTheme="majorHAnsi" w:hAnsiTheme="majorHAnsi"/>
          <w:sz w:val="24"/>
        </w:rPr>
        <w:t>(S)</w:t>
      </w:r>
    </w:p>
    <w:p w14:paraId="3371913F" w14:textId="7ABDF7D0" w:rsidR="00EF3CDF" w:rsidRPr="005B75B6"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Workforce Education Priorities (Centers of Excellence) – The four state universities (Bemidji State University [360 Manufacturing and Applied Engineering Center], Metropolitan State University [Advance IT Minnesota], Minnesota State University Mankato [Minnesota Center for Engineering and Manufacturing Excellence], and Winona State University [</w:t>
      </w:r>
      <w:proofErr w:type="spellStart"/>
      <w:r w:rsidRPr="00EF3CDF">
        <w:rPr>
          <w:rFonts w:asciiTheme="majorHAnsi" w:hAnsiTheme="majorHAnsi"/>
          <w:sz w:val="24"/>
        </w:rPr>
        <w:t>HealthForce</w:t>
      </w:r>
      <w:proofErr w:type="spellEnd"/>
      <w:r w:rsidRPr="00EF3CDF">
        <w:rPr>
          <w:rFonts w:asciiTheme="majorHAnsi" w:hAnsiTheme="majorHAnsi"/>
          <w:sz w:val="24"/>
        </w:rPr>
        <w:t xml:space="preserve"> Minnesota]) act as fiscal agents and receive their portion of the funds each year.  Throughout the fiscal year, each state university center allocates funds to their partners.  Starting in </w:t>
      </w:r>
      <w:r w:rsidR="009A38A4">
        <w:rPr>
          <w:rFonts w:asciiTheme="majorHAnsi" w:hAnsiTheme="majorHAnsi"/>
          <w:sz w:val="24"/>
        </w:rPr>
        <w:t xml:space="preserve">fiscal year </w:t>
      </w:r>
      <w:r w:rsidRPr="00EF3CDF">
        <w:rPr>
          <w:rFonts w:asciiTheme="majorHAnsi" w:hAnsiTheme="majorHAnsi"/>
          <w:sz w:val="24"/>
        </w:rPr>
        <w:t xml:space="preserve">2013, the activity has been expanded to </w:t>
      </w:r>
      <w:r w:rsidRPr="00EF3CDF">
        <w:rPr>
          <w:rFonts w:asciiTheme="majorHAnsi" w:hAnsiTheme="majorHAnsi"/>
          <w:sz w:val="24"/>
        </w:rPr>
        <w:lastRenderedPageBreak/>
        <w:t xml:space="preserve">include three additional centers in energy, agriculture, and transportation.  Other workforce </w:t>
      </w:r>
      <w:r w:rsidRPr="005B75B6">
        <w:rPr>
          <w:rFonts w:asciiTheme="majorHAnsi" w:hAnsiTheme="majorHAnsi"/>
          <w:sz w:val="24"/>
        </w:rPr>
        <w:t>priority areas are also funded from this source. (</w:t>
      </w:r>
      <w:r w:rsidR="00A761B5" w:rsidRPr="005B75B6">
        <w:rPr>
          <w:rFonts w:asciiTheme="majorHAnsi" w:hAnsiTheme="majorHAnsi"/>
          <w:sz w:val="24"/>
        </w:rPr>
        <w:t>S</w:t>
      </w:r>
      <w:r w:rsidRPr="005B75B6">
        <w:rPr>
          <w:rFonts w:asciiTheme="majorHAnsi" w:hAnsiTheme="majorHAnsi"/>
          <w:sz w:val="24"/>
        </w:rPr>
        <w:t xml:space="preserve">) </w:t>
      </w:r>
    </w:p>
    <w:p w14:paraId="26DDF27C" w14:textId="77777777" w:rsidR="00C26C06"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t xml:space="preserve">Access and Opportunity - The allocation to all colleges and universities is based on a combination of the number of first generation and Pell grant recipients in addition to overall fall headcount. </w:t>
      </w:r>
      <w:r w:rsidR="008D649D" w:rsidRPr="005B75B6">
        <w:rPr>
          <w:rFonts w:asciiTheme="majorHAnsi" w:hAnsiTheme="majorHAnsi"/>
          <w:sz w:val="24"/>
        </w:rPr>
        <w:t>F</w:t>
      </w:r>
      <w:r w:rsidRPr="005B75B6">
        <w:rPr>
          <w:rFonts w:asciiTheme="majorHAnsi" w:hAnsiTheme="majorHAnsi"/>
          <w:sz w:val="24"/>
        </w:rPr>
        <w:t>unds are used to support activities related to serving underrepresented students.  (A)</w:t>
      </w:r>
    </w:p>
    <w:p w14:paraId="2BAC354C" w14:textId="4A81A3CF" w:rsidR="00EF3CDF"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t xml:space="preserve">NHED – Range </w:t>
      </w:r>
      <w:proofErr w:type="spellStart"/>
      <w:r w:rsidRPr="005B75B6">
        <w:rPr>
          <w:rFonts w:asciiTheme="majorHAnsi" w:hAnsiTheme="majorHAnsi"/>
          <w:sz w:val="24"/>
        </w:rPr>
        <w:t>Voc</w:t>
      </w:r>
      <w:proofErr w:type="spellEnd"/>
      <w:r w:rsidRPr="005B75B6">
        <w:rPr>
          <w:rFonts w:asciiTheme="majorHAnsi" w:hAnsiTheme="majorHAnsi"/>
          <w:sz w:val="24"/>
        </w:rPr>
        <w:t xml:space="preserve"> Ed – </w:t>
      </w:r>
      <w:r w:rsidR="009A38A4">
        <w:rPr>
          <w:rFonts w:asciiTheme="majorHAnsi" w:hAnsiTheme="majorHAnsi"/>
          <w:sz w:val="24"/>
        </w:rPr>
        <w:t>Minnesota North College</w:t>
      </w:r>
      <w:r w:rsidRPr="005B75B6">
        <w:rPr>
          <w:rFonts w:asciiTheme="majorHAnsi" w:hAnsiTheme="majorHAnsi"/>
          <w:sz w:val="24"/>
        </w:rPr>
        <w:t xml:space="preserve"> receives a special legislative allocation for this activity that support vocational education in the high schools. (S) </w:t>
      </w:r>
    </w:p>
    <w:p w14:paraId="08856B92" w14:textId="77777777" w:rsidR="00EF3CDF"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t>Cook Co Higher Education - These are pass-through funds authorized by the Minnesota legislature that are directed to the Cook County Higher Education program. (P)</w:t>
      </w:r>
    </w:p>
    <w:p w14:paraId="017C740B" w14:textId="77777777" w:rsidR="00EF3CDF"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t>Leveraged Equipment – Funding distributed to colleges and universities to pay for instructional equipment by leveraging partners through a match donation program.  Allocation based on an average of equipment spending. (A)</w:t>
      </w:r>
    </w:p>
    <w:p w14:paraId="1E7C7FB9" w14:textId="77777777" w:rsidR="00711A05" w:rsidRPr="005B75B6" w:rsidRDefault="00711A05" w:rsidP="00711A05">
      <w:pPr>
        <w:pStyle w:val="ListParagraph"/>
        <w:numPr>
          <w:ilvl w:val="0"/>
          <w:numId w:val="9"/>
        </w:numPr>
        <w:jc w:val="both"/>
        <w:rPr>
          <w:rFonts w:asciiTheme="majorHAnsi" w:hAnsiTheme="majorHAnsi"/>
          <w:sz w:val="24"/>
        </w:rPr>
      </w:pPr>
      <w:r w:rsidRPr="005B75B6">
        <w:rPr>
          <w:rFonts w:asciiTheme="majorHAnsi" w:hAnsiTheme="majorHAnsi"/>
          <w:sz w:val="24"/>
        </w:rPr>
        <w:t>Legislative Initiatives – Funding for various specified legislative priorities such as transfer pathways, nursing initiative, and agriculture education. (S)</w:t>
      </w:r>
    </w:p>
    <w:p w14:paraId="293C98C1" w14:textId="77777777" w:rsidR="00D74E84" w:rsidRPr="005B75B6" w:rsidRDefault="00D74E84" w:rsidP="00EF3CDF">
      <w:pPr>
        <w:pStyle w:val="ListParagraph"/>
        <w:numPr>
          <w:ilvl w:val="0"/>
          <w:numId w:val="9"/>
        </w:numPr>
        <w:jc w:val="both"/>
        <w:rPr>
          <w:rFonts w:asciiTheme="majorHAnsi" w:hAnsiTheme="majorHAnsi"/>
          <w:sz w:val="24"/>
        </w:rPr>
      </w:pPr>
      <w:r w:rsidRPr="005B75B6">
        <w:rPr>
          <w:rFonts w:asciiTheme="majorHAnsi" w:hAnsiTheme="majorHAnsi"/>
          <w:sz w:val="24"/>
        </w:rPr>
        <w:t>Rural College Support – Funding d</w:t>
      </w:r>
      <w:r w:rsidR="00E965DC" w:rsidRPr="005B75B6">
        <w:rPr>
          <w:rFonts w:asciiTheme="majorHAnsi" w:hAnsiTheme="majorHAnsi"/>
          <w:sz w:val="24"/>
        </w:rPr>
        <w:t xml:space="preserve">istributed to rural colleges for operations and maintenance.  </w:t>
      </w:r>
      <w:r w:rsidR="003F00B0" w:rsidRPr="005B75B6">
        <w:rPr>
          <w:rFonts w:asciiTheme="majorHAnsi" w:hAnsiTheme="majorHAnsi"/>
          <w:sz w:val="24"/>
        </w:rPr>
        <w:t>Colleges with campuses lo</w:t>
      </w:r>
      <w:r w:rsidR="0056629A" w:rsidRPr="005B75B6">
        <w:rPr>
          <w:rFonts w:asciiTheme="majorHAnsi" w:hAnsiTheme="majorHAnsi"/>
          <w:sz w:val="24"/>
        </w:rPr>
        <w:t>cated in rural areas are allocated</w:t>
      </w:r>
      <w:r w:rsidR="003F00B0" w:rsidRPr="005B75B6">
        <w:rPr>
          <w:rFonts w:asciiTheme="majorHAnsi" w:hAnsiTheme="majorHAnsi"/>
          <w:sz w:val="24"/>
        </w:rPr>
        <w:t xml:space="preserve"> $</w:t>
      </w:r>
      <w:r w:rsidR="00F355F1" w:rsidRPr="005B75B6">
        <w:rPr>
          <w:rFonts w:asciiTheme="majorHAnsi" w:hAnsiTheme="majorHAnsi"/>
          <w:sz w:val="24"/>
        </w:rPr>
        <w:t>158,333</w:t>
      </w:r>
      <w:r w:rsidR="003F00B0" w:rsidRPr="005B75B6">
        <w:rPr>
          <w:rFonts w:asciiTheme="majorHAnsi" w:hAnsiTheme="majorHAnsi"/>
          <w:sz w:val="24"/>
        </w:rPr>
        <w:t xml:space="preserve"> per campus each fiscal year.  </w:t>
      </w:r>
      <w:r w:rsidR="00E965DC" w:rsidRPr="005B75B6">
        <w:rPr>
          <w:rFonts w:asciiTheme="majorHAnsi" w:hAnsiTheme="majorHAnsi"/>
          <w:sz w:val="24"/>
        </w:rPr>
        <w:t>(S)</w:t>
      </w:r>
    </w:p>
    <w:p w14:paraId="14BCDA1A" w14:textId="57C414A0" w:rsidR="00E965DC" w:rsidRPr="005B75B6" w:rsidRDefault="00E87BAA" w:rsidP="00EF3CDF">
      <w:pPr>
        <w:pStyle w:val="ListParagraph"/>
        <w:numPr>
          <w:ilvl w:val="0"/>
          <w:numId w:val="9"/>
        </w:numPr>
        <w:jc w:val="both"/>
        <w:rPr>
          <w:rFonts w:asciiTheme="majorHAnsi" w:hAnsiTheme="majorHAnsi"/>
          <w:sz w:val="24"/>
        </w:rPr>
      </w:pPr>
      <w:r w:rsidRPr="005B75B6">
        <w:rPr>
          <w:rFonts w:asciiTheme="majorHAnsi" w:hAnsiTheme="majorHAnsi"/>
          <w:sz w:val="24"/>
        </w:rPr>
        <w:t>Workforce Development Scholarships - A</w:t>
      </w:r>
      <w:r w:rsidR="00E965DC" w:rsidRPr="005B75B6">
        <w:rPr>
          <w:rFonts w:asciiTheme="majorHAnsi" w:hAnsiTheme="majorHAnsi"/>
          <w:sz w:val="24"/>
        </w:rPr>
        <w:t xml:space="preserve">nnual </w:t>
      </w:r>
      <w:r w:rsidR="00711A05" w:rsidRPr="005B75B6">
        <w:rPr>
          <w:rFonts w:asciiTheme="majorHAnsi" w:hAnsiTheme="majorHAnsi"/>
          <w:sz w:val="24"/>
        </w:rPr>
        <w:t xml:space="preserve">scholarship </w:t>
      </w:r>
      <w:r w:rsidR="00E965DC" w:rsidRPr="005B75B6">
        <w:rPr>
          <w:rFonts w:asciiTheme="majorHAnsi" w:hAnsiTheme="majorHAnsi"/>
          <w:sz w:val="24"/>
        </w:rPr>
        <w:t>funding for college students enrolled in high demand programs</w:t>
      </w:r>
      <w:r w:rsidR="009A38A4">
        <w:rPr>
          <w:rFonts w:asciiTheme="majorHAnsi" w:hAnsiTheme="majorHAnsi"/>
          <w:sz w:val="24"/>
        </w:rPr>
        <w:t xml:space="preserve"> such as</w:t>
      </w:r>
      <w:r w:rsidR="00E965DC" w:rsidRPr="005B75B6">
        <w:rPr>
          <w:rFonts w:asciiTheme="majorHAnsi" w:hAnsiTheme="majorHAnsi"/>
          <w:sz w:val="24"/>
        </w:rPr>
        <w:t xml:space="preserve"> advanced manufacturing, agriculture, health care services, and information technology.</w:t>
      </w:r>
      <w:r w:rsidRPr="005B75B6">
        <w:rPr>
          <w:rFonts w:asciiTheme="majorHAnsi" w:hAnsiTheme="majorHAnsi"/>
          <w:sz w:val="24"/>
        </w:rPr>
        <w:t xml:space="preserve">  $</w:t>
      </w:r>
      <w:r w:rsidR="00F355F1" w:rsidRPr="005B75B6">
        <w:rPr>
          <w:rFonts w:asciiTheme="majorHAnsi" w:hAnsiTheme="majorHAnsi"/>
          <w:sz w:val="24"/>
        </w:rPr>
        <w:t>4.5</w:t>
      </w:r>
      <w:r w:rsidRPr="005B75B6">
        <w:rPr>
          <w:rFonts w:asciiTheme="majorHAnsi" w:hAnsiTheme="majorHAnsi"/>
          <w:sz w:val="24"/>
        </w:rPr>
        <w:t xml:space="preserve"> million </w:t>
      </w:r>
      <w:r w:rsidR="00F355F1" w:rsidRPr="005B75B6">
        <w:rPr>
          <w:rFonts w:asciiTheme="majorHAnsi" w:hAnsiTheme="majorHAnsi"/>
          <w:sz w:val="24"/>
        </w:rPr>
        <w:t>each fiscal year</w:t>
      </w:r>
      <w:r w:rsidRPr="005B75B6">
        <w:rPr>
          <w:rFonts w:asciiTheme="majorHAnsi" w:hAnsiTheme="majorHAnsi"/>
          <w:sz w:val="24"/>
        </w:rPr>
        <w:t>.</w:t>
      </w:r>
      <w:r w:rsidR="00E965DC" w:rsidRPr="005B75B6">
        <w:rPr>
          <w:rFonts w:asciiTheme="majorHAnsi" w:hAnsiTheme="majorHAnsi"/>
          <w:sz w:val="24"/>
        </w:rPr>
        <w:t xml:space="preserve"> (S)</w:t>
      </w:r>
    </w:p>
    <w:p w14:paraId="59E2EAEA" w14:textId="05E9F27B" w:rsidR="00ED044E" w:rsidRPr="005B75B6" w:rsidRDefault="00ED044E" w:rsidP="00EF3CDF">
      <w:pPr>
        <w:pStyle w:val="ListParagraph"/>
        <w:numPr>
          <w:ilvl w:val="0"/>
          <w:numId w:val="9"/>
        </w:numPr>
        <w:jc w:val="both"/>
        <w:rPr>
          <w:rFonts w:asciiTheme="majorHAnsi" w:hAnsiTheme="majorHAnsi"/>
          <w:sz w:val="24"/>
        </w:rPr>
      </w:pPr>
      <w:r w:rsidRPr="005B75B6">
        <w:rPr>
          <w:rFonts w:asciiTheme="majorHAnsi" w:hAnsiTheme="majorHAnsi"/>
          <w:sz w:val="24"/>
        </w:rPr>
        <w:t xml:space="preserve">Student Support, Basic Needs – </w:t>
      </w:r>
      <w:r w:rsidR="00E15250" w:rsidRPr="005B75B6">
        <w:rPr>
          <w:rFonts w:asciiTheme="majorHAnsi" w:hAnsiTheme="majorHAnsi"/>
          <w:sz w:val="24"/>
        </w:rPr>
        <w:t>Funding to</w:t>
      </w:r>
      <w:r w:rsidR="000864E5" w:rsidRPr="005B75B6">
        <w:rPr>
          <w:rFonts w:asciiTheme="majorHAnsi" w:hAnsiTheme="majorHAnsi"/>
          <w:sz w:val="24"/>
        </w:rPr>
        <w:t xml:space="preserve"> support enterprise wide services to</w:t>
      </w:r>
      <w:r w:rsidR="009A1192" w:rsidRPr="005B75B6">
        <w:rPr>
          <w:rFonts w:asciiTheme="majorHAnsi" w:hAnsiTheme="majorHAnsi"/>
          <w:sz w:val="24"/>
        </w:rPr>
        <w:t xml:space="preserve"> address basic needs insecurity, mental health and other high-need student support services</w:t>
      </w:r>
      <w:r w:rsidR="000864E5" w:rsidRPr="005B75B6">
        <w:rPr>
          <w:rFonts w:asciiTheme="majorHAnsi" w:hAnsiTheme="majorHAnsi"/>
          <w:sz w:val="24"/>
        </w:rPr>
        <w:t xml:space="preserve"> for students. This funding supports systemwide contracts with United Way 211, an emergency grant app, and clinical mental health support.</w:t>
      </w:r>
      <w:r w:rsidR="009A1192" w:rsidRPr="005B75B6">
        <w:rPr>
          <w:rFonts w:asciiTheme="majorHAnsi" w:hAnsiTheme="majorHAnsi"/>
          <w:sz w:val="24"/>
        </w:rPr>
        <w:t xml:space="preserve">  (A)(C)</w:t>
      </w:r>
    </w:p>
    <w:p w14:paraId="2EB05219" w14:textId="01261459" w:rsidR="00ED044E" w:rsidRPr="005B75B6" w:rsidRDefault="00ED044E" w:rsidP="00EF3CDF">
      <w:pPr>
        <w:pStyle w:val="ListParagraph"/>
        <w:numPr>
          <w:ilvl w:val="0"/>
          <w:numId w:val="9"/>
        </w:numPr>
        <w:jc w:val="both"/>
        <w:rPr>
          <w:rFonts w:asciiTheme="majorHAnsi" w:hAnsiTheme="majorHAnsi"/>
          <w:sz w:val="24"/>
        </w:rPr>
      </w:pPr>
      <w:r w:rsidRPr="005B75B6">
        <w:rPr>
          <w:rFonts w:asciiTheme="majorHAnsi" w:hAnsiTheme="majorHAnsi"/>
          <w:sz w:val="24"/>
        </w:rPr>
        <w:t xml:space="preserve">Advanced Technology/Facilities – </w:t>
      </w:r>
      <w:r w:rsidR="00E15250" w:rsidRPr="005B75B6">
        <w:rPr>
          <w:rFonts w:asciiTheme="majorHAnsi" w:hAnsiTheme="majorHAnsi"/>
          <w:sz w:val="24"/>
        </w:rPr>
        <w:t>One-time funding</w:t>
      </w:r>
      <w:r w:rsidR="009A1192" w:rsidRPr="005B75B6">
        <w:rPr>
          <w:rFonts w:asciiTheme="majorHAnsi" w:hAnsiTheme="majorHAnsi"/>
          <w:sz w:val="24"/>
        </w:rPr>
        <w:t xml:space="preserve"> for equipment and learning environments</w:t>
      </w:r>
      <w:r w:rsidR="00DD07A7" w:rsidRPr="005B75B6">
        <w:rPr>
          <w:rFonts w:asciiTheme="majorHAnsi" w:hAnsiTheme="majorHAnsi"/>
          <w:sz w:val="24"/>
        </w:rPr>
        <w:t xml:space="preserve"> </w:t>
      </w:r>
      <w:bookmarkStart w:id="0" w:name="_Hlk162425388"/>
      <w:r w:rsidR="00DD07A7" w:rsidRPr="005B75B6">
        <w:rPr>
          <w:rFonts w:asciiTheme="majorHAnsi" w:hAnsiTheme="majorHAnsi"/>
          <w:sz w:val="24"/>
        </w:rPr>
        <w:t xml:space="preserve">with </w:t>
      </w:r>
      <w:r w:rsidR="009A38A4">
        <w:rPr>
          <w:rFonts w:asciiTheme="majorHAnsi" w:hAnsiTheme="majorHAnsi"/>
          <w:sz w:val="24"/>
        </w:rPr>
        <w:t xml:space="preserve">fiscal year </w:t>
      </w:r>
      <w:r w:rsidR="00DD07A7" w:rsidRPr="005B75B6">
        <w:rPr>
          <w:rFonts w:asciiTheme="majorHAnsi" w:hAnsiTheme="majorHAnsi"/>
          <w:sz w:val="24"/>
        </w:rPr>
        <w:t xml:space="preserve">2025 resources being matched with cash or in-kind contributions from non-state sources </w:t>
      </w:r>
      <w:bookmarkEnd w:id="0"/>
      <w:r w:rsidR="00DD07A7" w:rsidRPr="005B75B6">
        <w:rPr>
          <w:rFonts w:asciiTheme="majorHAnsi" w:hAnsiTheme="majorHAnsi"/>
          <w:sz w:val="24"/>
        </w:rPr>
        <w:t>(A)</w:t>
      </w:r>
    </w:p>
    <w:p w14:paraId="57BAEBA4" w14:textId="52D7FBA7" w:rsidR="00ED044E" w:rsidRPr="005B75B6" w:rsidRDefault="00ED044E" w:rsidP="00EF3CDF">
      <w:pPr>
        <w:pStyle w:val="ListParagraph"/>
        <w:numPr>
          <w:ilvl w:val="0"/>
          <w:numId w:val="9"/>
        </w:numPr>
        <w:jc w:val="both"/>
        <w:rPr>
          <w:rFonts w:asciiTheme="majorHAnsi" w:hAnsiTheme="majorHAnsi"/>
          <w:sz w:val="24"/>
        </w:rPr>
      </w:pPr>
      <w:r w:rsidRPr="005B75B6">
        <w:rPr>
          <w:rFonts w:asciiTheme="majorHAnsi" w:hAnsiTheme="majorHAnsi"/>
          <w:sz w:val="24"/>
        </w:rPr>
        <w:t xml:space="preserve">Industry Sector Development </w:t>
      </w:r>
      <w:r w:rsidR="00DD07A7" w:rsidRPr="005B75B6">
        <w:rPr>
          <w:rFonts w:asciiTheme="majorHAnsi" w:hAnsiTheme="majorHAnsi"/>
          <w:sz w:val="24"/>
        </w:rPr>
        <w:t>–</w:t>
      </w:r>
      <w:r w:rsidRPr="005B75B6">
        <w:rPr>
          <w:rFonts w:asciiTheme="majorHAnsi" w:hAnsiTheme="majorHAnsi"/>
          <w:sz w:val="24"/>
        </w:rPr>
        <w:t xml:space="preserve"> </w:t>
      </w:r>
      <w:r w:rsidR="00E15250" w:rsidRPr="005B75B6">
        <w:rPr>
          <w:rFonts w:asciiTheme="majorHAnsi" w:hAnsiTheme="majorHAnsi"/>
          <w:sz w:val="24"/>
        </w:rPr>
        <w:t>O</w:t>
      </w:r>
      <w:r w:rsidR="00DD07A7" w:rsidRPr="005B75B6">
        <w:rPr>
          <w:rFonts w:asciiTheme="majorHAnsi" w:hAnsiTheme="majorHAnsi"/>
          <w:sz w:val="24"/>
        </w:rPr>
        <w:t>ne-time funding to develop and expand industry sector programming to build capacity and support new and redesigned curriculum options with an emphasis on offering students work-based learning experiences</w:t>
      </w:r>
      <w:r w:rsidR="000864E5" w:rsidRPr="005B75B6">
        <w:rPr>
          <w:rFonts w:asciiTheme="majorHAnsi" w:hAnsiTheme="majorHAnsi"/>
          <w:sz w:val="24"/>
        </w:rPr>
        <w:t xml:space="preserve"> with </w:t>
      </w:r>
      <w:r w:rsidR="009A38A4">
        <w:rPr>
          <w:rFonts w:asciiTheme="majorHAnsi" w:hAnsiTheme="majorHAnsi"/>
          <w:sz w:val="24"/>
        </w:rPr>
        <w:t xml:space="preserve">fiscal year </w:t>
      </w:r>
      <w:r w:rsidR="000864E5" w:rsidRPr="005B75B6">
        <w:rPr>
          <w:rFonts w:asciiTheme="majorHAnsi" w:hAnsiTheme="majorHAnsi"/>
          <w:sz w:val="24"/>
        </w:rPr>
        <w:t>2025 resources being matched with cash or in-kind contributions from non-state sources</w:t>
      </w:r>
      <w:r w:rsidR="00DD07A7" w:rsidRPr="005B75B6">
        <w:rPr>
          <w:rFonts w:asciiTheme="majorHAnsi" w:hAnsiTheme="majorHAnsi"/>
          <w:sz w:val="24"/>
        </w:rPr>
        <w:t>. (A)</w:t>
      </w:r>
    </w:p>
    <w:p w14:paraId="2C07D932" w14:textId="77777777" w:rsidR="000467AB" w:rsidRPr="005B75B6" w:rsidRDefault="00672CD1" w:rsidP="00222264">
      <w:pPr>
        <w:spacing w:after="160" w:line="240" w:lineRule="auto"/>
        <w:jc w:val="both"/>
        <w:rPr>
          <w:rFonts w:ascii="Calibri" w:eastAsia="Calibri" w:hAnsi="Calibri" w:cs="Times New Roman"/>
          <w:b/>
          <w:color w:val="009F4D"/>
          <w:sz w:val="24"/>
          <w:szCs w:val="24"/>
        </w:rPr>
      </w:pPr>
      <w:r w:rsidRPr="005B75B6">
        <w:rPr>
          <w:rFonts w:ascii="Calibri" w:eastAsia="Calibri" w:hAnsi="Calibri" w:cs="Times New Roman"/>
          <w:b/>
          <w:color w:val="009F4D"/>
          <w:sz w:val="24"/>
          <w:szCs w:val="24"/>
        </w:rPr>
        <w:t>Systemwide Set Asides (</w:t>
      </w:r>
      <w:r w:rsidR="00F355F1" w:rsidRPr="005B75B6">
        <w:rPr>
          <w:rFonts w:ascii="Calibri" w:eastAsia="Calibri" w:hAnsi="Calibri" w:cs="Times New Roman"/>
          <w:b/>
          <w:color w:val="009F4D"/>
          <w:sz w:val="24"/>
          <w:szCs w:val="24"/>
        </w:rPr>
        <w:t>6</w:t>
      </w:r>
      <w:r w:rsidR="00EF3CDF" w:rsidRPr="005B75B6">
        <w:rPr>
          <w:rFonts w:ascii="Calibri" w:eastAsia="Calibri" w:hAnsi="Calibri" w:cs="Times New Roman"/>
          <w:b/>
          <w:color w:val="009F4D"/>
          <w:sz w:val="24"/>
          <w:szCs w:val="24"/>
        </w:rPr>
        <w:t>% of funds):</w:t>
      </w:r>
    </w:p>
    <w:p w14:paraId="442428C5" w14:textId="77777777" w:rsidR="00E965DC" w:rsidRPr="005B75B6" w:rsidRDefault="00E965DC" w:rsidP="00EF3CDF">
      <w:pPr>
        <w:pStyle w:val="ListParagraph"/>
        <w:numPr>
          <w:ilvl w:val="0"/>
          <w:numId w:val="10"/>
        </w:numPr>
        <w:jc w:val="both"/>
        <w:rPr>
          <w:rFonts w:asciiTheme="majorHAnsi" w:hAnsiTheme="majorHAnsi"/>
          <w:sz w:val="24"/>
        </w:rPr>
      </w:pPr>
      <w:r w:rsidRPr="005B75B6">
        <w:rPr>
          <w:rFonts w:asciiTheme="majorHAnsi" w:hAnsiTheme="majorHAnsi"/>
          <w:sz w:val="24"/>
        </w:rPr>
        <w:t xml:space="preserve">ISRS NextGen </w:t>
      </w:r>
      <w:r w:rsidR="00045790" w:rsidRPr="005B75B6">
        <w:rPr>
          <w:rFonts w:asciiTheme="majorHAnsi" w:hAnsiTheme="majorHAnsi"/>
          <w:sz w:val="24"/>
        </w:rPr>
        <w:t>–</w:t>
      </w:r>
      <w:r w:rsidRPr="005B75B6">
        <w:rPr>
          <w:rFonts w:asciiTheme="majorHAnsi" w:hAnsiTheme="majorHAnsi"/>
          <w:sz w:val="24"/>
        </w:rPr>
        <w:t xml:space="preserve"> </w:t>
      </w:r>
      <w:r w:rsidR="00045790" w:rsidRPr="005B75B6">
        <w:rPr>
          <w:rFonts w:asciiTheme="majorHAnsi" w:hAnsiTheme="majorHAnsi"/>
          <w:sz w:val="24"/>
        </w:rPr>
        <w:t>The allocation providing direct state support to the ISRS Next Generation technology infrastructure project.  (C)</w:t>
      </w:r>
    </w:p>
    <w:p w14:paraId="56920A29" w14:textId="0ECE797E" w:rsidR="00ED044E" w:rsidRPr="005B75B6" w:rsidRDefault="00ED044E" w:rsidP="00EF3CDF">
      <w:pPr>
        <w:pStyle w:val="ListParagraph"/>
        <w:numPr>
          <w:ilvl w:val="0"/>
          <w:numId w:val="10"/>
        </w:numPr>
        <w:jc w:val="both"/>
        <w:rPr>
          <w:rFonts w:asciiTheme="majorHAnsi" w:hAnsiTheme="majorHAnsi"/>
          <w:sz w:val="24"/>
        </w:rPr>
      </w:pPr>
      <w:r w:rsidRPr="005B75B6">
        <w:rPr>
          <w:rFonts w:asciiTheme="majorHAnsi" w:hAnsiTheme="majorHAnsi"/>
          <w:sz w:val="24"/>
        </w:rPr>
        <w:lastRenderedPageBreak/>
        <w:t xml:space="preserve">ISRS NextGen System Contribution – </w:t>
      </w:r>
      <w:r w:rsidR="004711C1" w:rsidRPr="005B75B6">
        <w:rPr>
          <w:rFonts w:asciiTheme="majorHAnsi" w:hAnsiTheme="majorHAnsi"/>
          <w:sz w:val="24"/>
        </w:rPr>
        <w:t>T</w:t>
      </w:r>
      <w:r w:rsidRPr="005B75B6">
        <w:rPr>
          <w:rFonts w:asciiTheme="majorHAnsi" w:hAnsiTheme="majorHAnsi"/>
          <w:sz w:val="24"/>
        </w:rPr>
        <w:t>his allocation provides additional support for the ISRS Next Generation technology infrastructure project. (C)</w:t>
      </w:r>
    </w:p>
    <w:p w14:paraId="4346A906" w14:textId="2B753E12" w:rsidR="00ED044E" w:rsidRPr="005B75B6" w:rsidRDefault="00ED044E" w:rsidP="00EF3CDF">
      <w:pPr>
        <w:pStyle w:val="ListParagraph"/>
        <w:numPr>
          <w:ilvl w:val="0"/>
          <w:numId w:val="10"/>
        </w:numPr>
        <w:jc w:val="both"/>
        <w:rPr>
          <w:rFonts w:asciiTheme="majorHAnsi" w:hAnsiTheme="majorHAnsi"/>
          <w:sz w:val="24"/>
        </w:rPr>
      </w:pPr>
      <w:r w:rsidRPr="005B75B6">
        <w:rPr>
          <w:rFonts w:asciiTheme="majorHAnsi" w:hAnsiTheme="majorHAnsi"/>
          <w:sz w:val="24"/>
        </w:rPr>
        <w:t>Systemwide technology – This new allocation provides direct state support to offset inflationary costs specific to technology. (C)</w:t>
      </w:r>
    </w:p>
    <w:p w14:paraId="3A3CE858"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Attorney General – Funds are held centrally to pay for the system’s annual bill with the Minnesota Attorney General’s office. Attorney general services benefit all colleges and universities.  (C)</w:t>
      </w:r>
    </w:p>
    <w:p w14:paraId="4DAA40CC"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Debt Service – The </w:t>
      </w:r>
      <w:r w:rsidR="00711A05">
        <w:rPr>
          <w:rFonts w:asciiTheme="majorHAnsi" w:hAnsiTheme="majorHAnsi"/>
          <w:sz w:val="24"/>
        </w:rPr>
        <w:t xml:space="preserve">amount labeled “system level” represents the </w:t>
      </w:r>
      <w:r w:rsidRPr="00EF3CDF">
        <w:rPr>
          <w:rFonts w:asciiTheme="majorHAnsi" w:hAnsiTheme="majorHAnsi"/>
          <w:sz w:val="24"/>
        </w:rPr>
        <w:t xml:space="preserve">system’s 1/6 share of debt service is held centrally to pay for the system’s annual debt service bill.  </w:t>
      </w:r>
      <w:r w:rsidR="00711A05">
        <w:rPr>
          <w:rFonts w:asciiTheme="majorHAnsi" w:hAnsiTheme="majorHAnsi"/>
          <w:sz w:val="24"/>
        </w:rPr>
        <w:t xml:space="preserve">The amount labeled “campus level” represents the 1/6th debt service costs charged directly to campuses. </w:t>
      </w:r>
      <w:r w:rsidRPr="00EF3CDF">
        <w:rPr>
          <w:rFonts w:asciiTheme="majorHAnsi" w:hAnsiTheme="majorHAnsi"/>
          <w:sz w:val="24"/>
        </w:rPr>
        <w:t xml:space="preserve"> (C)</w:t>
      </w:r>
    </w:p>
    <w:p w14:paraId="1784C13B"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Enterprise Technology – State appropriation held centrally to cover the expenses associated with systemwide information technology expenses for the benefit of all colleges and universities. (C)</w:t>
      </w:r>
    </w:p>
    <w:p w14:paraId="5AF5B638" w14:textId="6292EB02"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Repair and Replacement – State appropriation is held </w:t>
      </w:r>
      <w:proofErr w:type="gramStart"/>
      <w:r w:rsidRPr="00EF3CDF">
        <w:rPr>
          <w:rFonts w:asciiTheme="majorHAnsi" w:hAnsiTheme="majorHAnsi"/>
          <w:sz w:val="24"/>
        </w:rPr>
        <w:t>centrally</w:t>
      </w:r>
      <w:r w:rsidR="009A38A4">
        <w:rPr>
          <w:rFonts w:asciiTheme="majorHAnsi" w:hAnsiTheme="majorHAnsi"/>
          <w:sz w:val="24"/>
        </w:rPr>
        <w:t>,</w:t>
      </w:r>
      <w:r w:rsidRPr="00EF3CDF">
        <w:rPr>
          <w:rFonts w:asciiTheme="majorHAnsi" w:hAnsiTheme="majorHAnsi"/>
          <w:sz w:val="24"/>
        </w:rPr>
        <w:t xml:space="preserve"> and</w:t>
      </w:r>
      <w:proofErr w:type="gramEnd"/>
      <w:r w:rsidRPr="00EF3CDF">
        <w:rPr>
          <w:rFonts w:asciiTheme="majorHAnsi" w:hAnsiTheme="majorHAnsi"/>
          <w:sz w:val="24"/>
        </w:rPr>
        <w:t xml:space="preserve"> distributed </w:t>
      </w:r>
      <w:r w:rsidR="00711A05">
        <w:rPr>
          <w:rFonts w:asciiTheme="majorHAnsi" w:hAnsiTheme="majorHAnsi"/>
          <w:sz w:val="24"/>
        </w:rPr>
        <w:t>by the F</w:t>
      </w:r>
      <w:r w:rsidRPr="00EF3CDF">
        <w:rPr>
          <w:rFonts w:asciiTheme="majorHAnsi" w:hAnsiTheme="majorHAnsi"/>
          <w:sz w:val="24"/>
        </w:rPr>
        <w:t>acilities</w:t>
      </w:r>
      <w:r w:rsidR="00122D3E">
        <w:rPr>
          <w:rFonts w:asciiTheme="majorHAnsi" w:hAnsiTheme="majorHAnsi"/>
          <w:sz w:val="24"/>
        </w:rPr>
        <w:t xml:space="preserve"> group</w:t>
      </w:r>
      <w:r w:rsidR="00F350B4">
        <w:rPr>
          <w:rFonts w:asciiTheme="majorHAnsi" w:hAnsiTheme="majorHAnsi"/>
          <w:sz w:val="24"/>
        </w:rPr>
        <w:t xml:space="preserve"> </w:t>
      </w:r>
      <w:r w:rsidRPr="00EF3CDF">
        <w:rPr>
          <w:rFonts w:asciiTheme="majorHAnsi" w:hAnsiTheme="majorHAnsi"/>
          <w:sz w:val="24"/>
        </w:rPr>
        <w:t>for college and university</w:t>
      </w:r>
      <w:r w:rsidR="009A38A4">
        <w:rPr>
          <w:rFonts w:asciiTheme="majorHAnsi" w:hAnsiTheme="majorHAnsi"/>
          <w:sz w:val="24"/>
        </w:rPr>
        <w:t xml:space="preserve"> </w:t>
      </w:r>
      <w:r w:rsidR="009A38A4" w:rsidRPr="00EF3CDF">
        <w:rPr>
          <w:rFonts w:asciiTheme="majorHAnsi" w:hAnsiTheme="majorHAnsi"/>
          <w:sz w:val="24"/>
        </w:rPr>
        <w:t xml:space="preserve">small </w:t>
      </w:r>
      <w:r w:rsidR="009A38A4">
        <w:rPr>
          <w:rFonts w:asciiTheme="majorHAnsi" w:hAnsiTheme="majorHAnsi"/>
          <w:sz w:val="24"/>
        </w:rPr>
        <w:t>emergency</w:t>
      </w:r>
      <w:r w:rsidRPr="00EF3CDF">
        <w:rPr>
          <w:rFonts w:asciiTheme="majorHAnsi" w:hAnsiTheme="majorHAnsi"/>
          <w:sz w:val="24"/>
        </w:rPr>
        <w:t xml:space="preserve"> repair and replacement projects. (S)</w:t>
      </w:r>
    </w:p>
    <w:p w14:paraId="1F5C6E9E"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Leadership Transitions</w:t>
      </w:r>
      <w:r w:rsidR="00711A05">
        <w:rPr>
          <w:rFonts w:asciiTheme="majorHAnsi" w:hAnsiTheme="majorHAnsi"/>
          <w:sz w:val="24"/>
        </w:rPr>
        <w:t xml:space="preserve"> (Searches)</w:t>
      </w:r>
      <w:r w:rsidRPr="00EF3CDF">
        <w:rPr>
          <w:rFonts w:asciiTheme="majorHAnsi" w:hAnsiTheme="majorHAnsi"/>
          <w:sz w:val="24"/>
        </w:rPr>
        <w:t xml:space="preserve"> – The cost of president, chancellor, and vice chancellor searches (search firm contracts, relocation expenses) is covered centrally and state appropriation is used to fund this annual activity.  (C)</w:t>
      </w:r>
    </w:p>
    <w:p w14:paraId="380C68EF"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System audit program – Funds are held centrally to cover the expense of the system’s annual financial statement audit including the external auditors for the federal single audit and the annual audit of the Revenue fund. The revenue fund audit costs are subsequently charged to the revenue fund. (C)</w:t>
      </w:r>
    </w:p>
    <w:p w14:paraId="4F2261E1"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PALS – </w:t>
      </w:r>
      <w:r w:rsidR="00122D3E">
        <w:rPr>
          <w:rFonts w:asciiTheme="majorHAnsi" w:hAnsiTheme="majorHAnsi"/>
          <w:sz w:val="24"/>
        </w:rPr>
        <w:t>Funds are held centrally and distributed to all c</w:t>
      </w:r>
      <w:r w:rsidRPr="00EF3CDF">
        <w:rPr>
          <w:rFonts w:asciiTheme="majorHAnsi" w:hAnsiTheme="majorHAnsi"/>
          <w:sz w:val="24"/>
        </w:rPr>
        <w:t>olleges and universities to cover their portion of the annual Minnesota PALS (Project for Automated Library Systems) costs. (A)</w:t>
      </w:r>
    </w:p>
    <w:p w14:paraId="7511D265" w14:textId="77777777" w:rsidR="00EF3CDF" w:rsidRPr="00045790" w:rsidRDefault="00122D3E" w:rsidP="00222264">
      <w:pPr>
        <w:pStyle w:val="ListParagraph"/>
        <w:numPr>
          <w:ilvl w:val="0"/>
          <w:numId w:val="10"/>
        </w:numPr>
        <w:spacing w:after="160" w:line="240" w:lineRule="auto"/>
        <w:jc w:val="both"/>
        <w:rPr>
          <w:rFonts w:ascii="Calibri" w:eastAsia="Calibri" w:hAnsi="Calibri" w:cs="Times New Roman"/>
          <w:b/>
          <w:color w:val="009F4D"/>
          <w:sz w:val="24"/>
          <w:szCs w:val="24"/>
        </w:rPr>
      </w:pPr>
      <w:r>
        <w:rPr>
          <w:rFonts w:asciiTheme="majorHAnsi" w:hAnsiTheme="majorHAnsi"/>
          <w:sz w:val="24"/>
        </w:rPr>
        <w:t>System Procurement</w:t>
      </w:r>
      <w:r w:rsidR="00EF3CDF" w:rsidRPr="00045790">
        <w:rPr>
          <w:rFonts w:asciiTheme="majorHAnsi" w:hAnsiTheme="majorHAnsi"/>
          <w:sz w:val="24"/>
        </w:rPr>
        <w:t xml:space="preserve"> – Funds are held centrally to cover the base operations of the </w:t>
      </w:r>
      <w:r>
        <w:rPr>
          <w:rFonts w:asciiTheme="majorHAnsi" w:hAnsiTheme="majorHAnsi"/>
          <w:sz w:val="24"/>
        </w:rPr>
        <w:t>system procurement group</w:t>
      </w:r>
      <w:r w:rsidR="00EF3CDF" w:rsidRPr="00045790">
        <w:rPr>
          <w:rFonts w:asciiTheme="majorHAnsi" w:hAnsiTheme="majorHAnsi"/>
          <w:sz w:val="24"/>
        </w:rPr>
        <w:t xml:space="preserve"> on behalf of all colleges and universities and the system office.  (C) </w:t>
      </w:r>
    </w:p>
    <w:p w14:paraId="47C16ED7" w14:textId="67CFD1F2" w:rsidR="000467AB" w:rsidRPr="000467AB" w:rsidRDefault="00EF3CDF" w:rsidP="00222264">
      <w:pPr>
        <w:spacing w:after="160" w:line="240" w:lineRule="auto"/>
        <w:jc w:val="both"/>
        <w:rPr>
          <w:rFonts w:ascii="Calibri" w:eastAsia="Calibri" w:hAnsi="Calibri" w:cs="Times New Roman"/>
          <w:b/>
          <w:color w:val="009F4D"/>
          <w:sz w:val="24"/>
          <w:szCs w:val="24"/>
        </w:rPr>
      </w:pPr>
      <w:r>
        <w:rPr>
          <w:rFonts w:ascii="Calibri" w:eastAsia="Calibri" w:hAnsi="Calibri" w:cs="Times New Roman"/>
          <w:b/>
          <w:color w:val="009F4D"/>
          <w:sz w:val="24"/>
          <w:szCs w:val="24"/>
        </w:rPr>
        <w:t>Other (</w:t>
      </w:r>
      <w:r w:rsidR="009A1192">
        <w:rPr>
          <w:rFonts w:ascii="Calibri" w:eastAsia="Calibri" w:hAnsi="Calibri" w:cs="Times New Roman"/>
          <w:b/>
          <w:color w:val="009F4D"/>
          <w:sz w:val="24"/>
          <w:szCs w:val="24"/>
        </w:rPr>
        <w:t>5</w:t>
      </w:r>
      <w:r>
        <w:rPr>
          <w:rFonts w:ascii="Calibri" w:eastAsia="Calibri" w:hAnsi="Calibri" w:cs="Times New Roman"/>
          <w:b/>
          <w:color w:val="009F4D"/>
          <w:sz w:val="24"/>
          <w:szCs w:val="24"/>
        </w:rPr>
        <w:t>% of funds):</w:t>
      </w:r>
    </w:p>
    <w:p w14:paraId="62C61B93" w14:textId="77777777" w:rsidR="00EF3CDF" w:rsidRP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 xml:space="preserve">Minnesota </w:t>
      </w:r>
      <w:r w:rsidR="001A0381">
        <w:rPr>
          <w:rFonts w:asciiTheme="majorHAnsi" w:hAnsiTheme="majorHAnsi"/>
          <w:sz w:val="24"/>
        </w:rPr>
        <w:t>Learning Network funds</w:t>
      </w:r>
      <w:r w:rsidRPr="00EF3CDF">
        <w:rPr>
          <w:rFonts w:asciiTheme="majorHAnsi" w:hAnsiTheme="majorHAnsi"/>
          <w:sz w:val="24"/>
        </w:rPr>
        <w:t xml:space="preserve"> that are directed to network partners.  (P)  </w:t>
      </w:r>
    </w:p>
    <w:p w14:paraId="651CBEB3" w14:textId="77777777" w:rsidR="00EF3CDF" w:rsidRPr="00EF3CDF" w:rsidRDefault="00EF3CDF" w:rsidP="00EF3CDF">
      <w:pPr>
        <w:pStyle w:val="ListParagraph"/>
        <w:numPr>
          <w:ilvl w:val="0"/>
          <w:numId w:val="11"/>
        </w:numPr>
        <w:jc w:val="both"/>
        <w:rPr>
          <w:rFonts w:asciiTheme="majorHAnsi" w:hAnsiTheme="majorHAnsi"/>
          <w:sz w:val="24"/>
        </w:rPr>
      </w:pPr>
      <w:r w:rsidRPr="00EF3CDF">
        <w:rPr>
          <w:rFonts w:asciiTheme="majorHAnsi" w:hAnsiTheme="majorHAnsi"/>
          <w:sz w:val="24"/>
        </w:rPr>
        <w:t>System Office – State appropriation held centrally to cover the expense associated with the policy, governance, and legal activities of the system office and for services performed on behalf of the colleges and universities. (C)</w:t>
      </w:r>
    </w:p>
    <w:p w14:paraId="1ACCD33D" w14:textId="77777777" w:rsidR="000467AB" w:rsidRPr="00EF3CDF" w:rsidRDefault="00EF3CDF" w:rsidP="00222264">
      <w:pPr>
        <w:spacing w:after="160" w:line="240" w:lineRule="auto"/>
        <w:jc w:val="both"/>
        <w:rPr>
          <w:rFonts w:ascii="Calibri" w:eastAsia="Calibri" w:hAnsi="Calibri" w:cs="Times New Roman"/>
          <w:b/>
          <w:color w:val="009F4D"/>
          <w:sz w:val="24"/>
          <w:szCs w:val="24"/>
        </w:rPr>
      </w:pPr>
      <w:r w:rsidRPr="00EF3CDF">
        <w:rPr>
          <w:rFonts w:ascii="Calibri" w:eastAsia="Calibri" w:hAnsi="Calibri" w:cs="Times New Roman"/>
          <w:b/>
          <w:color w:val="009F4D"/>
          <w:sz w:val="24"/>
          <w:szCs w:val="24"/>
        </w:rPr>
        <w:t>Total Allocations:</w:t>
      </w:r>
    </w:p>
    <w:p w14:paraId="3ED08874" w14:textId="77777777" w:rsidR="00EF3CDF" w:rsidRPr="00EF3CDF" w:rsidRDefault="00EF3CDF" w:rsidP="00EF3CDF">
      <w:pPr>
        <w:pStyle w:val="ListParagraph"/>
        <w:numPr>
          <w:ilvl w:val="0"/>
          <w:numId w:val="12"/>
        </w:numPr>
        <w:jc w:val="both"/>
        <w:rPr>
          <w:rFonts w:asciiTheme="majorHAnsi" w:hAnsiTheme="majorHAnsi"/>
          <w:sz w:val="24"/>
        </w:rPr>
      </w:pPr>
      <w:r w:rsidRPr="00EF3CDF">
        <w:rPr>
          <w:rFonts w:asciiTheme="majorHAnsi" w:hAnsiTheme="majorHAnsi"/>
          <w:sz w:val="24"/>
        </w:rPr>
        <w:lastRenderedPageBreak/>
        <w:t>State Appropriation – The annual amount the system receives in total from the state.</w:t>
      </w:r>
    </w:p>
    <w:p w14:paraId="2DAB8188" w14:textId="77777777" w:rsidR="00EF3CDF" w:rsidRPr="00EF3CDF" w:rsidRDefault="00EF3CDF" w:rsidP="00EF3CDF">
      <w:pPr>
        <w:jc w:val="both"/>
        <w:rPr>
          <w:rFonts w:asciiTheme="majorHAnsi" w:hAnsiTheme="majorHAnsi"/>
          <w:sz w:val="24"/>
        </w:rPr>
      </w:pPr>
    </w:p>
    <w:p w14:paraId="27951759" w14:textId="77777777" w:rsidR="00EF3CDF" w:rsidRPr="00EF3CDF" w:rsidRDefault="00EF3CDF" w:rsidP="00EF3CDF">
      <w:pPr>
        <w:jc w:val="both"/>
        <w:rPr>
          <w:rFonts w:asciiTheme="majorHAnsi" w:hAnsiTheme="majorHAnsi"/>
          <w:sz w:val="24"/>
        </w:rPr>
      </w:pPr>
      <w:r w:rsidRPr="00EF3CDF">
        <w:rPr>
          <w:rFonts w:asciiTheme="majorHAnsi" w:hAnsiTheme="majorHAnsi"/>
          <w:sz w:val="24"/>
        </w:rPr>
        <w:t>Note:  The majority of expense and matching revenue of systemwide set asides, shared service division, and information technology is shifted to the colleges and universities by the end of the fiscal year to fully account for activities that should be reported in college/university operations in national reports.</w:t>
      </w:r>
    </w:p>
    <w:p w14:paraId="1DAD7C1D" w14:textId="77777777" w:rsidR="00252495" w:rsidRDefault="00252495" w:rsidP="00EF3CDF">
      <w:pPr>
        <w:spacing w:after="160" w:line="240" w:lineRule="auto"/>
        <w:contextualSpacing/>
        <w:jc w:val="both"/>
      </w:pPr>
    </w:p>
    <w:sectPr w:rsidR="00252495" w:rsidSect="00FB135D">
      <w:headerReference w:type="default" r:id="rId11"/>
      <w:headerReference w:type="first" r:id="rId12"/>
      <w:footerReference w:type="first" r:id="rId13"/>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C926" w14:textId="77777777" w:rsidR="00FB135D" w:rsidRDefault="00FB135D" w:rsidP="000D19F8">
      <w:r>
        <w:separator/>
      </w:r>
    </w:p>
  </w:endnote>
  <w:endnote w:type="continuationSeparator" w:id="0">
    <w:p w14:paraId="2C045307" w14:textId="77777777" w:rsidR="00FB135D" w:rsidRDefault="00FB135D"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244A" w14:textId="77777777" w:rsidR="0037785D" w:rsidRPr="00813BDE" w:rsidRDefault="0037785D" w:rsidP="0037785D">
    <w:pPr>
      <w:pStyle w:val="Footer"/>
      <w:spacing w:after="0" w:line="240" w:lineRule="auto"/>
      <w:rPr>
        <w:rFonts w:cs="Arial"/>
        <w:sz w:val="12"/>
        <w:szCs w:val="12"/>
      </w:rPr>
    </w:pPr>
  </w:p>
  <w:p w14:paraId="7449FAFA" w14:textId="77777777" w:rsidR="003050E6" w:rsidRPr="00813BDE" w:rsidRDefault="003050E6" w:rsidP="0037785D">
    <w:pPr>
      <w:pStyle w:val="Footer"/>
      <w:spacing w:after="0" w:line="240" w:lineRule="auto"/>
      <w:rPr>
        <w:rFonts w:cs="Arial"/>
        <w:sz w:val="12"/>
        <w:szCs w:val="12"/>
      </w:rPr>
    </w:pPr>
  </w:p>
  <w:p w14:paraId="552E4FB1" w14:textId="77777777" w:rsidR="00F8625F" w:rsidRPr="00813BDE" w:rsidRDefault="00F8625F" w:rsidP="003050E6">
    <w:pPr>
      <w:pStyle w:val="Footer"/>
      <w:tabs>
        <w:tab w:val="clear" w:pos="4320"/>
        <w:tab w:val="clear" w:pos="8640"/>
        <w:tab w:val="left" w:pos="1044"/>
      </w:tabs>
      <w:spacing w:after="0" w:line="240" w:lineRule="auto"/>
      <w:rPr>
        <w:rFonts w:ascii="Calibri" w:hAnsi="Calibri" w:cs="Times New Roman"/>
        <w:sz w:val="12"/>
        <w:szCs w:val="12"/>
      </w:rPr>
    </w:pPr>
  </w:p>
  <w:p w14:paraId="6CB41157" w14:textId="77777777" w:rsidR="00F8625F" w:rsidRPr="00E25183" w:rsidRDefault="003050E6" w:rsidP="00F8625F">
    <w:pPr>
      <w:pStyle w:val="Footer"/>
      <w:spacing w:after="0" w:line="240" w:lineRule="auto"/>
      <w:jc w:val="center"/>
      <w:rPr>
        <w:rFonts w:cs="Arial"/>
        <w:i/>
        <w:sz w:val="20"/>
        <w:szCs w:val="20"/>
      </w:rPr>
    </w:pPr>
    <w:r w:rsidRPr="00226A0C">
      <w:rPr>
        <w:rFonts w:ascii="Calibri" w:hAnsi="Calibri" w:cs="Times New Roman"/>
        <w:i/>
        <w:sz w:val="20"/>
        <w:szCs w:val="20"/>
      </w:rPr>
      <w:t xml:space="preserve">Minnesota State is an </w:t>
    </w:r>
    <w:r>
      <w:rPr>
        <w:rFonts w:ascii="Calibri" w:hAnsi="Calibri" w:cs="Times New Roman"/>
        <w:i/>
        <w:sz w:val="20"/>
        <w:szCs w:val="20"/>
      </w:rPr>
      <w:t>affirmative action, equal opportunity employer and e</w:t>
    </w:r>
    <w:r w:rsidRPr="00226A0C">
      <w:rPr>
        <w:rFonts w:ascii="Calibri" w:hAnsi="Calibri" w:cs="Times New Roman"/>
        <w:i/>
        <w:sz w:val="20"/>
        <w:szCs w:val="20"/>
      </w:rPr>
      <w:t>ducato</w:t>
    </w:r>
    <w:r>
      <w:rPr>
        <w:rFonts w:ascii="Calibri" w:hAnsi="Calibri" w:cs="Times New Roman"/>
        <w:i/>
        <w:sz w:val="20"/>
        <w:szCs w:val="20"/>
      </w:rPr>
      <w:t>r</w:t>
    </w:r>
  </w:p>
  <w:p w14:paraId="530A20DA" w14:textId="77777777" w:rsidR="0037785D" w:rsidRDefault="0037785D" w:rsidP="0037785D">
    <w:pPr>
      <w:pStyle w:val="Footer"/>
      <w:spacing w:after="0" w:line="240" w:lineRule="auto"/>
      <w:jc w:val="center"/>
      <w:rPr>
        <w:rFonts w:ascii="Calibri" w:hAnsi="Calibri" w:cs="Times New Roman"/>
        <w:i/>
        <w:sz w:val="20"/>
        <w:szCs w:val="20"/>
      </w:rPr>
    </w:pPr>
  </w:p>
  <w:p w14:paraId="469B3AEA" w14:textId="77777777" w:rsidR="0037785D" w:rsidRPr="00226A0C" w:rsidRDefault="0037785D" w:rsidP="0037785D">
    <w:pPr>
      <w:pStyle w:val="Footer"/>
      <w:spacing w:after="0" w:line="240" w:lineRule="auto"/>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ECA9" w14:textId="77777777" w:rsidR="00FB135D" w:rsidRDefault="00FB135D" w:rsidP="000D19F8">
      <w:r>
        <w:separator/>
      </w:r>
    </w:p>
  </w:footnote>
  <w:footnote w:type="continuationSeparator" w:id="0">
    <w:p w14:paraId="6CBADA4A" w14:textId="77777777" w:rsidR="00FB135D" w:rsidRDefault="00FB135D" w:rsidP="000D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EFD7" w14:textId="77777777" w:rsidR="003F2971" w:rsidRDefault="003F2971">
    <w:pPr>
      <w:pStyle w:val="Header"/>
      <w:jc w:val="right"/>
    </w:pPr>
  </w:p>
  <w:p w14:paraId="6886C2ED" w14:textId="77777777" w:rsidR="003F2971" w:rsidRPr="00533FAD" w:rsidRDefault="009A38A4">
    <w:pPr>
      <w:pStyle w:val="Header"/>
      <w:jc w:val="right"/>
      <w:rPr>
        <w:rFonts w:asciiTheme="majorHAnsi" w:hAnsiTheme="majorHAnsi"/>
      </w:rPr>
    </w:pPr>
    <w:sdt>
      <w:sdtPr>
        <w:id w:val="-822195417"/>
        <w:docPartObj>
          <w:docPartGallery w:val="Page Numbers (Top of Page)"/>
          <w:docPartUnique/>
        </w:docPartObj>
      </w:sdtPr>
      <w:sdtEndPr>
        <w:rPr>
          <w:rFonts w:asciiTheme="majorHAnsi" w:hAnsiTheme="majorHAnsi"/>
          <w:noProof/>
        </w:rPr>
      </w:sdtEndPr>
      <w:sdtContent>
        <w:r w:rsidR="003F2971" w:rsidRPr="00533FAD">
          <w:rPr>
            <w:rFonts w:asciiTheme="majorHAnsi" w:hAnsiTheme="majorHAnsi"/>
          </w:rPr>
          <w:fldChar w:fldCharType="begin"/>
        </w:r>
        <w:r w:rsidR="003F2971" w:rsidRPr="00533FAD">
          <w:rPr>
            <w:rFonts w:asciiTheme="majorHAnsi" w:hAnsiTheme="majorHAnsi"/>
          </w:rPr>
          <w:instrText xml:space="preserve"> PAGE   \* MERGEFORMAT </w:instrText>
        </w:r>
        <w:r w:rsidR="003F2971" w:rsidRPr="00533FAD">
          <w:rPr>
            <w:rFonts w:asciiTheme="majorHAnsi" w:hAnsiTheme="majorHAnsi"/>
          </w:rPr>
          <w:fldChar w:fldCharType="separate"/>
        </w:r>
        <w:r w:rsidR="00F355F1">
          <w:rPr>
            <w:rFonts w:asciiTheme="majorHAnsi" w:hAnsiTheme="majorHAnsi"/>
            <w:noProof/>
          </w:rPr>
          <w:t>3</w:t>
        </w:r>
        <w:r w:rsidR="003F2971" w:rsidRPr="00533FAD">
          <w:rPr>
            <w:rFonts w:asciiTheme="majorHAnsi" w:hAnsiTheme="majorHAnsi"/>
            <w:noProof/>
          </w:rPr>
          <w:fldChar w:fldCharType="end"/>
        </w:r>
      </w:sdtContent>
    </w:sdt>
  </w:p>
  <w:p w14:paraId="14F0E44E" w14:textId="77777777" w:rsidR="003F2971" w:rsidRDefault="003F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8B1B" w14:textId="77777777" w:rsidR="009A38A4" w:rsidRDefault="009A38A4" w:rsidP="005A1A48">
    <w:pPr>
      <w:pStyle w:val="Header"/>
      <w:jc w:val="right"/>
      <w:rPr>
        <w:rFonts w:asciiTheme="majorHAnsi" w:hAnsiTheme="majorHAnsi" w:cstheme="majorHAnsi"/>
        <w:noProof/>
      </w:rPr>
    </w:pPr>
  </w:p>
  <w:p w14:paraId="1FBA0278" w14:textId="3FB99880" w:rsidR="00252495" w:rsidRPr="005A1A48" w:rsidRDefault="005A1A48" w:rsidP="005A1A48">
    <w:pPr>
      <w:pStyle w:val="Header"/>
      <w:jc w:val="right"/>
      <w:rPr>
        <w:rFonts w:asciiTheme="majorHAnsi" w:hAnsiTheme="majorHAnsi" w:cstheme="majorHAnsi"/>
        <w:noProof/>
      </w:rPr>
    </w:pPr>
    <w:r w:rsidRPr="005A1A48">
      <w:rPr>
        <w:rFonts w:asciiTheme="majorHAnsi" w:hAnsiTheme="majorHAnsi" w:cstheme="majorHAnsi"/>
        <w:noProof/>
      </w:rPr>
      <w:t>Attachment 7</w:t>
    </w:r>
  </w:p>
  <w:p w14:paraId="3D728C30" w14:textId="29A42065" w:rsidR="00252495" w:rsidRDefault="00533FAD" w:rsidP="009A38A4">
    <w:pPr>
      <w:pStyle w:val="Header"/>
      <w:tabs>
        <w:tab w:val="clear" w:pos="4320"/>
        <w:tab w:val="clear" w:pos="8640"/>
        <w:tab w:val="left" w:pos="2856"/>
      </w:tabs>
    </w:pPr>
    <w:r w:rsidRPr="00397223">
      <w:rPr>
        <w:rFonts w:ascii="Calibri" w:hAnsi="Calibri"/>
        <w:b/>
        <w:noProof/>
        <w:color w:val="0C2340"/>
      </w:rPr>
      <w:drawing>
        <wp:anchor distT="0" distB="0" distL="114300" distR="114300" simplePos="0" relativeHeight="251659264" behindDoc="1" locked="1" layoutInCell="1" allowOverlap="1" wp14:anchorId="219A77FC" wp14:editId="3DF9D1CB">
          <wp:simplePos x="0" y="0"/>
          <wp:positionH relativeFrom="page">
            <wp:posOffset>-2540</wp:posOffset>
          </wp:positionH>
          <wp:positionV relativeFrom="page">
            <wp:posOffset>-576580</wp:posOffset>
          </wp:positionV>
          <wp:extent cx="3886200" cy="2286000"/>
          <wp:effectExtent l="0" t="0" r="0" b="0"/>
          <wp:wrapNone/>
          <wp:docPr id="4" name="Picture 4"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252495">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353"/>
    <w:multiLevelType w:val="hybridMultilevel"/>
    <w:tmpl w:val="E1C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9C8"/>
    <w:multiLevelType w:val="hybridMultilevel"/>
    <w:tmpl w:val="64A4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3BB4"/>
    <w:multiLevelType w:val="hybridMultilevel"/>
    <w:tmpl w:val="5AC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7177"/>
    <w:multiLevelType w:val="hybridMultilevel"/>
    <w:tmpl w:val="5060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67E2"/>
    <w:multiLevelType w:val="hybridMultilevel"/>
    <w:tmpl w:val="49A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C55A7"/>
    <w:multiLevelType w:val="hybridMultilevel"/>
    <w:tmpl w:val="1B20DF78"/>
    <w:lvl w:ilvl="0" w:tplc="846802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A055A"/>
    <w:multiLevelType w:val="hybridMultilevel"/>
    <w:tmpl w:val="47F6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36C88"/>
    <w:multiLevelType w:val="hybridMultilevel"/>
    <w:tmpl w:val="E2A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44FD8"/>
    <w:multiLevelType w:val="hybridMultilevel"/>
    <w:tmpl w:val="923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115D0"/>
    <w:multiLevelType w:val="hybridMultilevel"/>
    <w:tmpl w:val="2734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358989">
    <w:abstractNumId w:val="6"/>
  </w:num>
  <w:num w:numId="2" w16cid:durableId="901715108">
    <w:abstractNumId w:val="4"/>
  </w:num>
  <w:num w:numId="3" w16cid:durableId="1122646872">
    <w:abstractNumId w:val="8"/>
  </w:num>
  <w:num w:numId="4" w16cid:durableId="889267864">
    <w:abstractNumId w:val="0"/>
  </w:num>
  <w:num w:numId="5" w16cid:durableId="944919506">
    <w:abstractNumId w:val="5"/>
  </w:num>
  <w:num w:numId="6" w16cid:durableId="1826319773">
    <w:abstractNumId w:val="2"/>
  </w:num>
  <w:num w:numId="7" w16cid:durableId="1389256139">
    <w:abstractNumId w:val="11"/>
  </w:num>
  <w:num w:numId="8" w16cid:durableId="1904098484">
    <w:abstractNumId w:val="9"/>
  </w:num>
  <w:num w:numId="9" w16cid:durableId="117915193">
    <w:abstractNumId w:val="10"/>
  </w:num>
  <w:num w:numId="10" w16cid:durableId="1044211056">
    <w:abstractNumId w:val="7"/>
  </w:num>
  <w:num w:numId="11" w16cid:durableId="2009017158">
    <w:abstractNumId w:val="1"/>
  </w:num>
  <w:num w:numId="12" w16cid:durableId="860624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AB"/>
    <w:rsid w:val="0000654F"/>
    <w:rsid w:val="00045790"/>
    <w:rsid w:val="000467AB"/>
    <w:rsid w:val="000864E5"/>
    <w:rsid w:val="000D19F8"/>
    <w:rsid w:val="000D1E93"/>
    <w:rsid w:val="001000B1"/>
    <w:rsid w:val="00122D3E"/>
    <w:rsid w:val="00126047"/>
    <w:rsid w:val="00132CA7"/>
    <w:rsid w:val="0015111D"/>
    <w:rsid w:val="001A0381"/>
    <w:rsid w:val="001F4EF3"/>
    <w:rsid w:val="0020117D"/>
    <w:rsid w:val="00222264"/>
    <w:rsid w:val="00226A0C"/>
    <w:rsid w:val="00252495"/>
    <w:rsid w:val="003050E6"/>
    <w:rsid w:val="00313BF4"/>
    <w:rsid w:val="003254BF"/>
    <w:rsid w:val="00325F9A"/>
    <w:rsid w:val="0037785D"/>
    <w:rsid w:val="003E1FF2"/>
    <w:rsid w:val="003F00B0"/>
    <w:rsid w:val="003F2971"/>
    <w:rsid w:val="004615EC"/>
    <w:rsid w:val="00464B08"/>
    <w:rsid w:val="00465019"/>
    <w:rsid w:val="004711C1"/>
    <w:rsid w:val="004B6DB8"/>
    <w:rsid w:val="00520F25"/>
    <w:rsid w:val="00525D5E"/>
    <w:rsid w:val="00533FAD"/>
    <w:rsid w:val="0056629A"/>
    <w:rsid w:val="005A1A48"/>
    <w:rsid w:val="005A5C34"/>
    <w:rsid w:val="005B75B6"/>
    <w:rsid w:val="005C7416"/>
    <w:rsid w:val="00616E29"/>
    <w:rsid w:val="00672CD1"/>
    <w:rsid w:val="006B0BAF"/>
    <w:rsid w:val="006C6A45"/>
    <w:rsid w:val="00711A05"/>
    <w:rsid w:val="007304F1"/>
    <w:rsid w:val="00790BE6"/>
    <w:rsid w:val="007B7E31"/>
    <w:rsid w:val="00813BDE"/>
    <w:rsid w:val="00874E80"/>
    <w:rsid w:val="0088132B"/>
    <w:rsid w:val="008C2DD3"/>
    <w:rsid w:val="008D649D"/>
    <w:rsid w:val="008E10AB"/>
    <w:rsid w:val="00940658"/>
    <w:rsid w:val="00986DA3"/>
    <w:rsid w:val="009A1192"/>
    <w:rsid w:val="009A28CD"/>
    <w:rsid w:val="009A38A4"/>
    <w:rsid w:val="00A761B5"/>
    <w:rsid w:val="00B75300"/>
    <w:rsid w:val="00BD5AA5"/>
    <w:rsid w:val="00BE085F"/>
    <w:rsid w:val="00BE0F56"/>
    <w:rsid w:val="00BE5768"/>
    <w:rsid w:val="00C26C06"/>
    <w:rsid w:val="00C93B0F"/>
    <w:rsid w:val="00CD49F1"/>
    <w:rsid w:val="00D45382"/>
    <w:rsid w:val="00D532AF"/>
    <w:rsid w:val="00D74E84"/>
    <w:rsid w:val="00D87BA9"/>
    <w:rsid w:val="00D92CA8"/>
    <w:rsid w:val="00DD07A7"/>
    <w:rsid w:val="00E15250"/>
    <w:rsid w:val="00E310F9"/>
    <w:rsid w:val="00E32A55"/>
    <w:rsid w:val="00E85EB4"/>
    <w:rsid w:val="00E87BAA"/>
    <w:rsid w:val="00E965DC"/>
    <w:rsid w:val="00EA35AD"/>
    <w:rsid w:val="00ED044E"/>
    <w:rsid w:val="00EE3D3A"/>
    <w:rsid w:val="00EE61E5"/>
    <w:rsid w:val="00EF3CDF"/>
    <w:rsid w:val="00F21904"/>
    <w:rsid w:val="00F350B4"/>
    <w:rsid w:val="00F355F1"/>
    <w:rsid w:val="00F54DED"/>
    <w:rsid w:val="00F8625F"/>
    <w:rsid w:val="00FB135D"/>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92339"/>
  <w14:defaultImageDpi w14:val="300"/>
  <w15:docId w15:val="{D5A33C22-CAF1-4966-8926-86F3CFD4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E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qFormat/>
    <w:rsid w:val="004615EC"/>
    <w:pPr>
      <w:spacing w:after="0" w:line="240" w:lineRule="auto"/>
    </w:pPr>
    <w:rPr>
      <w:b/>
    </w:rPr>
  </w:style>
  <w:style w:type="paragraph" w:customStyle="1" w:styleId="TMBody">
    <w:name w:val="TM Body"/>
    <w:basedOn w:val="Normal"/>
    <w:link w:val="TMBodyChar"/>
    <w:qFormat/>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qFormat/>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qFormat/>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qFormat/>
    <w:rsid w:val="004B6DB8"/>
    <w:pPr>
      <w:spacing w:before="200"/>
      <w:ind w:right="-14"/>
    </w:pPr>
    <w:rPr>
      <w:rFonts w:asciiTheme="majorHAnsi" w:hAnsiTheme="majorHAnsi"/>
      <w:color w:val="auto"/>
    </w:rPr>
  </w:style>
  <w:style w:type="paragraph" w:customStyle="1" w:styleId="MSSUBHEADING">
    <w:name w:val="MS SUB HEADING"/>
    <w:basedOn w:val="Normal"/>
    <w:qFormat/>
    <w:rsid w:val="004B6DB8"/>
    <w:pPr>
      <w:spacing w:after="0"/>
    </w:pPr>
    <w:rPr>
      <w:rFonts w:asciiTheme="majorHAnsi" w:eastAsia="Calibri" w:hAnsiTheme="majorHAnsi" w:cs="Calibri"/>
      <w:b/>
      <w:bCs/>
      <w:color w:val="009F4D"/>
      <w:position w:val="1"/>
      <w:sz w:val="24"/>
      <w:szCs w:val="24"/>
    </w:rPr>
  </w:style>
  <w:style w:type="paragraph" w:customStyle="1" w:styleId="MSBODYCOPY">
    <w:name w:val="MS BODY COPY"/>
    <w:basedOn w:val="Normal"/>
    <w:qFormat/>
    <w:rsid w:val="004B6DB8"/>
    <w:pPr>
      <w:spacing w:after="0" w:line="240" w:lineRule="auto"/>
    </w:pPr>
    <w:rPr>
      <w:rFonts w:ascii="Calibri" w:hAnsi="Calibri"/>
    </w:rPr>
  </w:style>
  <w:style w:type="paragraph" w:customStyle="1" w:styleId="MSBULLETLIST">
    <w:name w:val="MS BULLET LIST"/>
    <w:basedOn w:val="ListParagraph"/>
    <w:qFormat/>
    <w:rsid w:val="004B6DB8"/>
    <w:pPr>
      <w:numPr>
        <w:numId w:val="2"/>
      </w:numPr>
      <w:spacing w:after="0" w:line="240" w:lineRule="auto"/>
    </w:pPr>
    <w:rPr>
      <w:rFonts w:ascii="Calibri" w:hAnsi="Calibri"/>
    </w:rPr>
  </w:style>
  <w:style w:type="paragraph" w:customStyle="1" w:styleId="MSNUMBERLIST">
    <w:name w:val="MS NUMBER LIST"/>
    <w:basedOn w:val="ListParagraph"/>
    <w:qFormat/>
    <w:rsid w:val="004B6DB8"/>
    <w:pPr>
      <w:numPr>
        <w:numId w:val="1"/>
      </w:numPr>
      <w:spacing w:after="0" w:line="240" w:lineRule="auto"/>
    </w:pPr>
    <w:rPr>
      <w:rFonts w:ascii="Calibri" w:hAnsi="Calibri"/>
    </w:rPr>
  </w:style>
  <w:style w:type="table" w:styleId="TableGrid">
    <w:name w:val="Table Grid"/>
    <w:basedOn w:val="TableNormal"/>
    <w:uiPriority w:val="39"/>
    <w:rsid w:val="000467A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25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Brand Colors">
      <a:dk1>
        <a:sysClr val="windowText" lastClr="000000"/>
      </a:dk1>
      <a:lt1>
        <a:sysClr val="window" lastClr="FFFFFF"/>
      </a:lt1>
      <a:dk2>
        <a:srgbClr val="20285C"/>
      </a:dk2>
      <a:lt2>
        <a:srgbClr val="009D4E"/>
      </a:lt2>
      <a:accent1>
        <a:srgbClr val="B0A39A"/>
      </a:accent1>
      <a:accent2>
        <a:srgbClr val="009BDE"/>
      </a:accent2>
      <a:accent3>
        <a:srgbClr val="5B2B82"/>
      </a:accent3>
      <a:accent4>
        <a:srgbClr val="D60057"/>
      </a:accent4>
      <a:accent5>
        <a:srgbClr val="FF671B"/>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_x0020_Type xmlns="56079915-55c1-47de-9f8c-fe65da8f0fde">Templates</Document_x0020_Type>
    <Audience xmlns="56079915-55c1-47de-9f8c-fe65da8f0fde">
      <Value>System Office</Value>
    </Audi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2" ma:contentTypeDescription="" ma:contentTypeScope="" ma:versionID="6d98b674e19aca7e465360c020c0a74c">
  <xsd:schema xmlns:xsd="http://www.w3.org/2001/XMLSchema" xmlns:xs="http://www.w3.org/2001/XMLSchema" xmlns:p="http://schemas.microsoft.com/office/2006/metadata/properties" xmlns:ns3="56079915-55c1-47de-9f8c-fe65da8f0fde" targetNamespace="http://schemas.microsoft.com/office/2006/metadata/properties" ma:root="true" ma:fieldsID="9b13cf3956d02a060ff336852ebc0f8c" ns3:_="">
    <xsd:import namespace="56079915-55c1-47de-9f8c-fe65da8f0fde"/>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95BC0-9F82-48E4-AA05-958E6735C41F}">
  <ds:schemaRefs>
    <ds:schemaRef ds:uri="http://schemas.openxmlformats.org/officeDocument/2006/bibliography"/>
  </ds:schemaRefs>
</ds:datastoreItem>
</file>

<file path=customXml/itemProps2.xml><?xml version="1.0" encoding="utf-8"?>
<ds:datastoreItem xmlns:ds="http://schemas.openxmlformats.org/officeDocument/2006/customXml" ds:itemID="{78313DC3-B451-4F73-B685-54357240F11A}">
  <ds:schemaRefs>
    <ds:schemaRef ds:uri="http://www.w3.org/XML/1998/namespace"/>
    <ds:schemaRef ds:uri="http://schemas.microsoft.com/office/2006/documentManagement/types"/>
    <ds:schemaRef ds:uri="http://schemas.microsoft.com/office/infopath/2007/PartnerControls"/>
    <ds:schemaRef ds:uri="http://purl.org/dc/dcmitype/"/>
    <ds:schemaRef ds:uri="56079915-55c1-47de-9f8c-fe65da8f0fd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4.xml><?xml version="1.0" encoding="utf-8"?>
<ds:datastoreItem xmlns:ds="http://schemas.openxmlformats.org/officeDocument/2006/customXml" ds:itemID="{1D86FDB8-FDA6-4A71-BDF9-FB75EBB6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King</dc:creator>
  <cp:keywords/>
  <cp:lastModifiedBy>Anderson, Susan S</cp:lastModifiedBy>
  <cp:revision>2</cp:revision>
  <cp:lastPrinted>2017-08-24T12:42:00Z</cp:lastPrinted>
  <dcterms:created xsi:type="dcterms:W3CDTF">2024-04-10T13:41:00Z</dcterms:created>
  <dcterms:modified xsi:type="dcterms:W3CDTF">2024-04-10T13:41:00Z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